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3C38" w14:textId="77777777" w:rsidR="00EF6A9A" w:rsidRDefault="00EF6A9A" w:rsidP="004855CD">
      <w:pPr>
        <w:rPr>
          <w:b/>
          <w:sz w:val="44"/>
          <w:szCs w:val="44"/>
        </w:rPr>
      </w:pPr>
      <w:r w:rsidRPr="0076620F">
        <w:rPr>
          <w:b/>
          <w:sz w:val="44"/>
          <w:szCs w:val="44"/>
        </w:rPr>
        <w:t xml:space="preserve">Pregled </w:t>
      </w:r>
      <w:r>
        <w:rPr>
          <w:b/>
          <w:sz w:val="44"/>
          <w:szCs w:val="44"/>
        </w:rPr>
        <w:t>standardnih</w:t>
      </w:r>
      <w:r w:rsidRPr="0076620F">
        <w:rPr>
          <w:b/>
          <w:sz w:val="44"/>
          <w:szCs w:val="44"/>
        </w:rPr>
        <w:t xml:space="preserve"> predugovornih informacija</w:t>
      </w:r>
    </w:p>
    <w:p w14:paraId="045C0E85" w14:textId="17FD79AE" w:rsidR="004855CD" w:rsidRDefault="004855CD" w:rsidP="004855CD">
      <w:r>
        <w:t>Ponuđena kombinacija usluga putovanja jest paket-aranžman u smislu Zakona o pružanju usluga u turizmu.</w:t>
      </w:r>
    </w:p>
    <w:p w14:paraId="5AA5AB0E" w14:textId="59783D96" w:rsidR="004855CD" w:rsidRDefault="004855CD" w:rsidP="004855CD">
      <w:r>
        <w:t xml:space="preserve">Putnik stoga ima sva prava koja proizlaze iz odredbi Zakona o pružanju usluga u turizmu koje se odnose na paket-aranžman. Turistička agencija </w:t>
      </w:r>
      <w:r w:rsidRPr="00516E49">
        <w:rPr>
          <w:highlight w:val="lightGray"/>
        </w:rPr>
        <w:t>(ime, naziv</w:t>
      </w:r>
      <w:r w:rsidRPr="00516E49">
        <w:rPr>
          <w:rStyle w:val="Referencafusnote"/>
          <w:highlight w:val="lightGray"/>
        </w:rPr>
        <w:footnoteReference w:id="1"/>
      </w:r>
      <w:r w:rsidRPr="00516E49">
        <w:rPr>
          <w:highlight w:val="lightGray"/>
        </w:rPr>
        <w:t>)</w:t>
      </w:r>
      <w:r>
        <w:t xml:space="preserve"> u cijelosti je odgovorna za pravilno izvršenje paket-aranžmana kao cjeline.</w:t>
      </w:r>
    </w:p>
    <w:p w14:paraId="20A00E68" w14:textId="4DB01405" w:rsidR="004855CD" w:rsidRDefault="004855CD" w:rsidP="004855CD">
      <w:r>
        <w:t xml:space="preserve">Turistička agencija </w:t>
      </w:r>
      <w:r w:rsidRPr="00516E49">
        <w:rPr>
          <w:highlight w:val="lightGray"/>
        </w:rPr>
        <w:t>(ime, naziv)</w:t>
      </w:r>
      <w:r>
        <w:t xml:space="preserve"> ima zakonom propisanu osiguranu jamčevinu za naknadu putnikovih plaćanja i, ako je prijevoz uključen u paket-aranžman, osiguravanje repatrijacije putnika u slučaju da postane nesolventna.</w:t>
      </w:r>
    </w:p>
    <w:p w14:paraId="375568D9" w14:textId="77777777" w:rsidR="004855CD" w:rsidRDefault="004855CD" w:rsidP="004855CD"/>
    <w:p w14:paraId="62A42818" w14:textId="77777777" w:rsidR="004855CD" w:rsidRDefault="004855CD" w:rsidP="004855CD">
      <w:r>
        <w:t>Najvažnija prava u skladu sa Zakonom o pružanju usluga u turizmu.</w:t>
      </w:r>
    </w:p>
    <w:p w14:paraId="4EA303B3" w14:textId="77777777" w:rsidR="004855CD" w:rsidRDefault="004855CD" w:rsidP="004855CD">
      <w:r>
        <w:t>– Putnici će dobiti sve bitne informacije o paket-aranžmanu prije sklapanja ugovora o putovanju u paket-aranžmanu.</w:t>
      </w:r>
    </w:p>
    <w:p w14:paraId="5ED1C1D7" w14:textId="77777777" w:rsidR="004855CD" w:rsidRDefault="004855CD" w:rsidP="004855CD">
      <w:r>
        <w:t>– Uvijek postoji barem jedan trgovac koji je odgovoran za pravilno izvršenje svih usluga putovanja obuhvaćenih ugovorom.</w:t>
      </w:r>
    </w:p>
    <w:p w14:paraId="300650D0" w14:textId="77777777" w:rsidR="004855CD" w:rsidRDefault="004855CD" w:rsidP="004855CD">
      <w:r>
        <w:t>– Putnici dobivaju telefonski broj za hitne slučajeve ili podatke o kontaktnoj točki putem koje mogu stupiti u kontakt s organizatorom ili turističkom agencijom.</w:t>
      </w:r>
    </w:p>
    <w:p w14:paraId="7D571121" w14:textId="77777777" w:rsidR="004855CD" w:rsidRDefault="004855CD" w:rsidP="004855CD">
      <w:r>
        <w:t>– Putnici mogu prenijeti paket-aranžman na drugu osobu uz obavijest o tome u razumnom roku i moguće plaćanje dodatnih troškova.</w:t>
      </w:r>
    </w:p>
    <w:p w14:paraId="10390977" w14:textId="77777777" w:rsidR="004855CD" w:rsidRDefault="004855CD" w:rsidP="004855CD">
      <w:r>
        <w:t>– Cijena paket-aranžmana može se povećati samo ako se povećaju specifični troškovi (primjerice, cijena goriva) i ako je to izričito predviđeno u ugovoru, a u svakom slučaju najkasnije 20 dana prije početka paket-aranžmana. Ako povećanje cijene premašuje 8 % cijene paket-aranžmana, putnik može raskinuti ugovor. Ako organizator pridrži pravo na povećanje cijene, putnik ima pravo na sniženje cijene ako dođe do sniženja relevantnih troškova.</w:t>
      </w:r>
    </w:p>
    <w:p w14:paraId="772CD20D" w14:textId="77777777" w:rsidR="004855CD" w:rsidRDefault="004855CD" w:rsidP="004855CD">
      <w:r>
        <w:t>– Putnici mogu raskinuti ugovor bez plaćanja bilo kakve naknade za raskid ugovora i dobiti puni povrat svih plaćanja ako se znatno izmijeni bilo koji od bitnih elemenata paket-aranžmana osim cijene. Ako prije početka paket-aranžmana trgovac odgovoran za paket-aranžman otkaže paket-aranžman, putnici imaju pravo na povrat i, prema potrebi, odštetu.</w:t>
      </w:r>
    </w:p>
    <w:p w14:paraId="0D8322EE" w14:textId="77777777" w:rsidR="004855CD" w:rsidRDefault="004855CD" w:rsidP="004855CD">
      <w:r>
        <w:t>– Putnici mogu raskinuti ugovor bez plaćanja bilo kakve naknade za raskid ugovora prije početka paket-aranžmana u slučaju izvanrednih okolnosti, primjerice ako na odredištu postoje ozbiljni sigurnosni problemi koji bi mogli utjecati na paket-aranžman.</w:t>
      </w:r>
    </w:p>
    <w:p w14:paraId="7ADFAEA4" w14:textId="77777777" w:rsidR="004855CD" w:rsidRDefault="004855CD" w:rsidP="004855CD">
      <w:r>
        <w:t>– Osim toga, putnici u svakom trenutku prije početka paket-aranžmana mogu raskinuti ugovor uz plaćanje primjerene naknade za raskid ugovora koja se može opravdati.</w:t>
      </w:r>
    </w:p>
    <w:p w14:paraId="723BD3E5" w14:textId="77777777" w:rsidR="004855CD" w:rsidRDefault="004855CD" w:rsidP="004855CD">
      <w:r>
        <w:t xml:space="preserve">– Ako nakon početka paket-aranžmana značajne elemente paket-aranžmana nije moguće pružiti kako je dogovoreno, morat će biti ponuđeni alternativni aranžmani bez dodatnih troškova. Ako usluge nisu pružene u skladu s ugovorom i to znatno utječe na izvršenje paket-aranžmana, a </w:t>
      </w:r>
      <w:r>
        <w:lastRenderedPageBreak/>
        <w:t>organizator ne ispravi nesukladnost, putnici mogu raskinuti ugovor o putovanju u paket-aranžmanu bez plaćanja naknade za raskid.</w:t>
      </w:r>
    </w:p>
    <w:p w14:paraId="7C3CDE04" w14:textId="77777777" w:rsidR="004855CD" w:rsidRDefault="004855CD" w:rsidP="004855CD">
      <w:r>
        <w:t>– Putnici imaju pravo na sniženje cijene i/ili naknadu štete ako usluge putovanja ne budu izvršene ili ako budu izvršene na nepravilan način.</w:t>
      </w:r>
    </w:p>
    <w:p w14:paraId="461E39F6" w14:textId="77777777" w:rsidR="004855CD" w:rsidRDefault="004855CD" w:rsidP="004855CD">
      <w:r>
        <w:t>– Ako se putnik nađe u poteškoćama, organizator mu mora pružiti pomoć.</w:t>
      </w:r>
    </w:p>
    <w:p w14:paraId="10A26B9C" w14:textId="18499CB5" w:rsidR="004855CD" w:rsidRDefault="004855CD" w:rsidP="004855CD">
      <w:r>
        <w:t xml:space="preserve">– Ako organizator, ili u pojedinim državama članicama prodavatelj, postane nesolventan, osigurava se povrat plaćanja. Ako organizator ili, prema potrebi, prodavatelj postane nesolventan nakon početka paket-aranžmana i ako je prijevoz uključen u paket-aranžman, osigurana je repatrijacija putnika. Organizator, turistička agencija </w:t>
      </w:r>
      <w:r w:rsidRPr="00516E49">
        <w:rPr>
          <w:highlight w:val="lightGray"/>
        </w:rPr>
        <w:t>(ime, naziv)</w:t>
      </w:r>
      <w:r>
        <w:t xml:space="preserve"> ugovorio je zaštitu u slučaju nesolventnosti kod </w:t>
      </w:r>
      <w:r w:rsidRPr="00516E49">
        <w:rPr>
          <w:highlight w:val="lightGray"/>
        </w:rPr>
        <w:t>(ime, naziv subjekta koji pruža zaštitu u slučaju nesolventnosti, npr. banka ili društvo za osiguranje</w:t>
      </w:r>
      <w:r w:rsidR="00EF6A9A" w:rsidRPr="00516E49">
        <w:rPr>
          <w:rStyle w:val="Referencafusnote"/>
          <w:highlight w:val="lightGray"/>
        </w:rPr>
        <w:footnoteReference w:id="2"/>
      </w:r>
      <w:r w:rsidRPr="00516E49">
        <w:rPr>
          <w:highlight w:val="lightGray"/>
        </w:rPr>
        <w:t>].</w:t>
      </w:r>
      <w:r>
        <w:t xml:space="preserve"> Putnici mogu stupiti u kontakt s </w:t>
      </w:r>
      <w:r w:rsidRPr="004855CD">
        <w:t xml:space="preserve">pružateljem zaštite od nesolventnosti ili, prema potrebi, s nadležnim tijelom vlasti. U Republici Hrvatskoj to je Ministarstvo turizma Republike Hrvatske: Prisavlje 14, 10000 Zagreb, </w:t>
      </w:r>
      <w:hyperlink r:id="rId7" w:history="1">
        <w:r w:rsidRPr="004855CD">
          <w:rPr>
            <w:rStyle w:val="Hiperveza"/>
          </w:rPr>
          <w:t>pisarnica@mint.hr</w:t>
        </w:r>
      </w:hyperlink>
      <w:r w:rsidRPr="004855CD">
        <w:t>, +385 1 6169 111, ako</w:t>
      </w:r>
      <w:r>
        <w:t xml:space="preserve"> su usluge uskraćene zbog nesolventnosti organizatora, turističke agencije </w:t>
      </w:r>
      <w:r w:rsidRPr="004855CD">
        <w:rPr>
          <w:highlight w:val="yellow"/>
        </w:rPr>
        <w:t>(ime, naziv).</w:t>
      </w:r>
    </w:p>
    <w:p w14:paraId="25FCEC26" w14:textId="70373525" w:rsidR="00EF6A9A" w:rsidRDefault="004855CD" w:rsidP="004855CD">
      <w:r>
        <w:t>Direktivu (EU) 2015/2302</w:t>
      </w:r>
      <w:r w:rsidR="00EF6A9A">
        <w:t xml:space="preserve"> na službenim jezicima država članica EU možete pronaći na: </w:t>
      </w:r>
      <w:hyperlink r:id="rId8" w:history="1">
        <w:r w:rsidR="00EF6A9A" w:rsidRPr="00BE47F2">
          <w:rPr>
            <w:rStyle w:val="Hiperveza"/>
          </w:rPr>
          <w:t>http://data.europa.eu/eli/dir/2015/2302/oj</w:t>
        </w:r>
      </w:hyperlink>
      <w:r w:rsidR="00EF6A9A">
        <w:t xml:space="preserve"> Izravni pristup tekstu na hrvatskom jeziku moguć je na: </w:t>
      </w:r>
      <w:hyperlink r:id="rId9" w:history="1">
        <w:r w:rsidR="00EF6A9A" w:rsidRPr="00BE47F2">
          <w:rPr>
            <w:rStyle w:val="Hiperveza"/>
          </w:rPr>
          <w:t>https://eur-lex.europa.eu/legal-content/HR/TXT/PDF/?uri=OJ:L:2015:326:FULL&amp;from=HR</w:t>
        </w:r>
      </w:hyperlink>
      <w:r w:rsidR="00EF6A9A">
        <w:t xml:space="preserve"> </w:t>
      </w:r>
    </w:p>
    <w:p w14:paraId="588850D3" w14:textId="2A249AB7" w:rsidR="00F84115" w:rsidRDefault="004855CD" w:rsidP="004855CD">
      <w:r>
        <w:t>Zakon o pružanju usluga u turizmu</w:t>
      </w:r>
      <w:r w:rsidR="00EF6A9A">
        <w:t xml:space="preserve"> možete pronaći na mrežnim stranicama Ministarstva turizma: </w:t>
      </w:r>
      <w:hyperlink r:id="rId10" w:history="1">
        <w:r w:rsidR="00EF6A9A" w:rsidRPr="00BE47F2">
          <w:rPr>
            <w:rStyle w:val="Hiperveza"/>
          </w:rPr>
          <w:t>https://mint.gov.hr/UserDocsImages/AAA_2020_ABC/c_dokumenti/200129_ZOPUT_edit.pdf</w:t>
        </w:r>
      </w:hyperlink>
      <w:r w:rsidR="00EF6A9A">
        <w:t xml:space="preserve"> </w:t>
      </w:r>
    </w:p>
    <w:sectPr w:rsidR="00F8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6942" w14:textId="77777777" w:rsidR="00CF2613" w:rsidRDefault="00CF2613" w:rsidP="004855CD">
      <w:pPr>
        <w:spacing w:after="0" w:line="240" w:lineRule="auto"/>
      </w:pPr>
      <w:r>
        <w:separator/>
      </w:r>
    </w:p>
  </w:endnote>
  <w:endnote w:type="continuationSeparator" w:id="0">
    <w:p w14:paraId="28506805" w14:textId="77777777" w:rsidR="00CF2613" w:rsidRDefault="00CF2613" w:rsidP="0048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EEBA" w14:textId="77777777" w:rsidR="00CF2613" w:rsidRDefault="00CF2613" w:rsidP="004855CD">
      <w:pPr>
        <w:spacing w:after="0" w:line="240" w:lineRule="auto"/>
      </w:pPr>
      <w:r>
        <w:separator/>
      </w:r>
    </w:p>
  </w:footnote>
  <w:footnote w:type="continuationSeparator" w:id="0">
    <w:p w14:paraId="224DE96B" w14:textId="77777777" w:rsidR="00CF2613" w:rsidRDefault="00CF2613" w:rsidP="004855CD">
      <w:pPr>
        <w:spacing w:after="0" w:line="240" w:lineRule="auto"/>
      </w:pPr>
      <w:r>
        <w:continuationSeparator/>
      </w:r>
    </w:p>
  </w:footnote>
  <w:footnote w:id="1">
    <w:p w14:paraId="74DF7649" w14:textId="3766C8CB" w:rsidR="004855CD" w:rsidRDefault="004855CD">
      <w:pPr>
        <w:pStyle w:val="Tekstfusnote"/>
      </w:pPr>
      <w:r>
        <w:rPr>
          <w:rStyle w:val="Referencafusnote"/>
        </w:rPr>
        <w:footnoteRef/>
      </w:r>
      <w:r>
        <w:t xml:space="preserve"> Upisati tvrtku turističke agencije na markiranim mjestima</w:t>
      </w:r>
      <w:r w:rsidR="00516E49">
        <w:t xml:space="preserve"> gdje je navedena oznaka (ime,naziv)</w:t>
      </w:r>
      <w:bookmarkStart w:id="0" w:name="_GoBack"/>
      <w:bookmarkEnd w:id="0"/>
    </w:p>
  </w:footnote>
  <w:footnote w:id="2">
    <w:p w14:paraId="5B0D8F43" w14:textId="7BB83C70" w:rsidR="00EF6A9A" w:rsidRDefault="00EF6A9A">
      <w:pPr>
        <w:pStyle w:val="Tekstfusnote"/>
      </w:pPr>
      <w:r>
        <w:rPr>
          <w:rStyle w:val="Referencafusnote"/>
        </w:rPr>
        <w:footnoteRef/>
      </w:r>
      <w:r>
        <w:t xml:space="preserve"> Upisati tvrtku osiguravatelja ili banke koja je izdala policu osiguranja ili bankovnu garanciju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CD"/>
    <w:rsid w:val="004855CD"/>
    <w:rsid w:val="00516E49"/>
    <w:rsid w:val="009A1EDE"/>
    <w:rsid w:val="00CF2613"/>
    <w:rsid w:val="00EF6A9A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60EE"/>
  <w15:chartTrackingRefBased/>
  <w15:docId w15:val="{47FAB547-8209-4F04-B5E1-CE09A850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55CD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855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855CD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4855CD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EF6A9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F6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europa.eu/eli/dir/2015/2302/o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min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int.gov.hr/UserDocsImages/AAA_2020_ABC/c_dokumenti/200129_ZOPUT_ed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HR/TXT/PDF/?uri=OJ:L:2015:326:FULL&amp;from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962B-C4B5-4905-B5E7-4B315AEA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Trezner</dc:creator>
  <cp:keywords/>
  <dc:description/>
  <cp:lastModifiedBy>Željko Trezner</cp:lastModifiedBy>
  <cp:revision>2</cp:revision>
  <dcterms:created xsi:type="dcterms:W3CDTF">2020-02-06T10:48:00Z</dcterms:created>
  <dcterms:modified xsi:type="dcterms:W3CDTF">2020-02-07T12:45:00Z</dcterms:modified>
</cp:coreProperties>
</file>