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86D2" w14:textId="77777777" w:rsidR="00E44215" w:rsidRPr="00EF1682" w:rsidRDefault="00B225F3" w:rsidP="00B225F3">
      <w:pPr>
        <w:jc w:val="center"/>
        <w:rPr>
          <w:rFonts w:ascii="Arial" w:hAnsi="Arial" w:cs="Arial"/>
          <w:b/>
          <w:bCs/>
          <w:sz w:val="24"/>
          <w:szCs w:val="24"/>
        </w:rPr>
      </w:pPr>
      <w:r w:rsidRPr="00EF1682">
        <w:rPr>
          <w:rFonts w:ascii="Arial" w:hAnsi="Arial" w:cs="Arial"/>
          <w:b/>
          <w:bCs/>
          <w:sz w:val="24"/>
          <w:szCs w:val="24"/>
        </w:rPr>
        <w:t xml:space="preserve">EGSO VIJESTI </w:t>
      </w:r>
    </w:p>
    <w:p w14:paraId="19C57892" w14:textId="681217E4" w:rsidR="00B225F3" w:rsidRPr="00EF1682" w:rsidRDefault="00B225F3" w:rsidP="00B225F3">
      <w:pPr>
        <w:jc w:val="center"/>
        <w:rPr>
          <w:rFonts w:ascii="Arial" w:hAnsi="Arial" w:cs="Arial"/>
          <w:b/>
          <w:bCs/>
          <w:sz w:val="24"/>
          <w:szCs w:val="24"/>
        </w:rPr>
      </w:pPr>
      <w:r w:rsidRPr="00EF1682">
        <w:rPr>
          <w:rFonts w:ascii="Arial" w:hAnsi="Arial" w:cs="Arial"/>
          <w:b/>
          <w:bCs/>
          <w:sz w:val="24"/>
          <w:szCs w:val="24"/>
        </w:rPr>
        <w:t>LIPANJ 2023</w:t>
      </w:r>
    </w:p>
    <w:p w14:paraId="26211E0F" w14:textId="77777777" w:rsidR="00B225F3" w:rsidRPr="00EF1682" w:rsidRDefault="00B225F3">
      <w:pPr>
        <w:rPr>
          <w:rFonts w:ascii="Arial" w:hAnsi="Arial" w:cs="Arial"/>
          <w:sz w:val="24"/>
          <w:szCs w:val="24"/>
        </w:rPr>
      </w:pPr>
    </w:p>
    <w:p w14:paraId="26C5B7D4" w14:textId="77777777" w:rsidR="00E44215" w:rsidRPr="00EF1682" w:rsidRDefault="00E44215" w:rsidP="00E44215">
      <w:pPr>
        <w:rPr>
          <w:rFonts w:ascii="Arial" w:hAnsi="Arial" w:cs="Arial"/>
          <w:b/>
          <w:bCs/>
          <w:sz w:val="24"/>
          <w:szCs w:val="24"/>
          <w:u w:val="single"/>
          <w:lang w:val="en-GB"/>
        </w:rPr>
      </w:pPr>
      <w:r w:rsidRPr="00EF1682">
        <w:rPr>
          <w:rFonts w:ascii="Arial" w:hAnsi="Arial" w:cs="Arial"/>
          <w:b/>
          <w:bCs/>
          <w:sz w:val="24"/>
          <w:szCs w:val="24"/>
          <w:u w:val="single"/>
          <w:lang w:val="en-GB"/>
        </w:rPr>
        <w:t>Konferencije, događanja, vijesti</w:t>
      </w:r>
    </w:p>
    <w:p w14:paraId="4C6A582E" w14:textId="77777777" w:rsidR="00E44215" w:rsidRPr="00EF1682" w:rsidRDefault="00E44215">
      <w:pPr>
        <w:rPr>
          <w:rFonts w:ascii="Arial" w:hAnsi="Arial" w:cs="Arial"/>
          <w:sz w:val="24"/>
          <w:szCs w:val="24"/>
        </w:rPr>
      </w:pPr>
    </w:p>
    <w:p w14:paraId="5A616404" w14:textId="07031FBC" w:rsidR="008E4E49" w:rsidRPr="00EF1682" w:rsidRDefault="00D0325A" w:rsidP="00D0325A">
      <w:pPr>
        <w:pStyle w:val="HTMLPreformatted"/>
        <w:spacing w:line="540" w:lineRule="atLeast"/>
        <w:jc w:val="center"/>
        <w:rPr>
          <w:rStyle w:val="y2iqfc"/>
          <w:rFonts w:ascii="Arial" w:hAnsi="Arial" w:cs="Arial"/>
          <w:b/>
          <w:bCs/>
          <w:i/>
          <w:iCs/>
          <w:color w:val="202124"/>
          <w:sz w:val="24"/>
          <w:szCs w:val="24"/>
        </w:rPr>
      </w:pPr>
      <w:r w:rsidRPr="00EF1682">
        <w:rPr>
          <w:rStyle w:val="y2iqfc"/>
          <w:rFonts w:ascii="Arial" w:hAnsi="Arial" w:cs="Arial"/>
          <w:b/>
          <w:bCs/>
          <w:i/>
          <w:iCs/>
          <w:color w:val="202124"/>
          <w:sz w:val="24"/>
          <w:szCs w:val="24"/>
        </w:rPr>
        <w:t xml:space="preserve">Grupa poslodavaca </w:t>
      </w:r>
      <w:r w:rsidRPr="00EF1682">
        <w:rPr>
          <w:rStyle w:val="y2iqfc"/>
          <w:rFonts w:ascii="Arial" w:hAnsi="Arial" w:cs="Arial"/>
          <w:b/>
          <w:bCs/>
          <w:i/>
          <w:iCs/>
          <w:color w:val="202124"/>
          <w:sz w:val="24"/>
          <w:szCs w:val="24"/>
          <w:lang w:val="hr-HR"/>
        </w:rPr>
        <w:t>Europskog gospodarskog i socijalnog odbora</w:t>
      </w:r>
      <w:r w:rsidRPr="00EF1682">
        <w:rPr>
          <w:rStyle w:val="y2iqfc"/>
          <w:rFonts w:ascii="Arial" w:hAnsi="Arial" w:cs="Arial"/>
          <w:b/>
          <w:bCs/>
          <w:i/>
          <w:iCs/>
          <w:color w:val="202124"/>
          <w:sz w:val="24"/>
          <w:szCs w:val="24"/>
          <w:lang w:val="hr-HR"/>
        </w:rPr>
        <w:t xml:space="preserve"> dobila je značajnu potporu za protu mišljenje na temu Protokola o socijalnom progresu</w:t>
      </w:r>
    </w:p>
    <w:p w14:paraId="0E3B3A1B" w14:textId="3CCA07A1"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 xml:space="preserve">15. lipnja 2023. - Grupa poslodavaca Europskog gospodarskog i socijalnog odbora </w:t>
      </w:r>
      <w:r w:rsidR="00D0325A" w:rsidRPr="00EF1682">
        <w:rPr>
          <w:rStyle w:val="y2iqfc"/>
          <w:rFonts w:ascii="Arial" w:hAnsi="Arial" w:cs="Arial"/>
          <w:color w:val="202124"/>
          <w:sz w:val="24"/>
          <w:szCs w:val="24"/>
          <w:lang w:val="hr-HR"/>
        </w:rPr>
        <w:t xml:space="preserve">na lipanjskom plenarnom zasjedanju </w:t>
      </w:r>
      <w:r w:rsidRPr="00EF1682">
        <w:rPr>
          <w:rStyle w:val="y2iqfc"/>
          <w:rFonts w:ascii="Arial" w:hAnsi="Arial" w:cs="Arial"/>
          <w:color w:val="202124"/>
          <w:sz w:val="24"/>
          <w:szCs w:val="24"/>
          <w:lang w:val="hr-HR"/>
        </w:rPr>
        <w:t xml:space="preserve">je progurala </w:t>
      </w:r>
      <w:r w:rsidR="00D0325A" w:rsidRPr="00EF1682">
        <w:rPr>
          <w:rStyle w:val="y2iqfc"/>
          <w:rFonts w:ascii="Arial" w:hAnsi="Arial" w:cs="Arial"/>
          <w:color w:val="202124"/>
          <w:sz w:val="24"/>
          <w:szCs w:val="24"/>
          <w:lang w:val="hr-HR"/>
        </w:rPr>
        <w:t>je protu mišljenje</w:t>
      </w:r>
      <w:r w:rsidRPr="00EF1682">
        <w:rPr>
          <w:rStyle w:val="y2iqfc"/>
          <w:rFonts w:ascii="Arial" w:hAnsi="Arial" w:cs="Arial"/>
          <w:color w:val="202124"/>
          <w:sz w:val="24"/>
          <w:szCs w:val="24"/>
          <w:lang w:val="hr-HR"/>
        </w:rPr>
        <w:t xml:space="preserve"> kako bi snažno izrazila svoju zabrinutost zbog dodavanja Protokola o socijalnom napretku koji bi iz temelja promijenio prirodu i funkcioniranje socijalnog tržišnog gospodarstva EU-a.</w:t>
      </w:r>
    </w:p>
    <w:p w14:paraId="1B12D596" w14:textId="2D9388C7"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Na zahtjev nadolazećeg španjolskog predsjedništva Vijeća EU-a, EGSO je donio eksplorativno mišljenje o uvođenju Protokola o društvenom napretku koje je dobilo 132 glasa za, 102 protiv i 7 suzdržanih.</w:t>
      </w:r>
    </w:p>
    <w:p w14:paraId="47D3622C" w14:textId="0FF2F33E"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 xml:space="preserve">Grupa poslodavaca, ujedinila se protiv mišljenja, </w:t>
      </w:r>
      <w:r w:rsidR="00D0325A" w:rsidRPr="00EF1682">
        <w:rPr>
          <w:rStyle w:val="y2iqfc"/>
          <w:rFonts w:ascii="Arial" w:hAnsi="Arial" w:cs="Arial"/>
          <w:color w:val="202124"/>
          <w:sz w:val="24"/>
          <w:szCs w:val="24"/>
          <w:lang w:val="hr-HR"/>
        </w:rPr>
        <w:t>i</w:t>
      </w:r>
      <w:r w:rsidRPr="00EF1682">
        <w:rPr>
          <w:rStyle w:val="y2iqfc"/>
          <w:rFonts w:ascii="Arial" w:hAnsi="Arial" w:cs="Arial"/>
          <w:color w:val="202124"/>
          <w:sz w:val="24"/>
          <w:szCs w:val="24"/>
          <w:lang w:val="hr-HR"/>
        </w:rPr>
        <w:t xml:space="preserve"> iznijela je kontra mišljenje jer smatra da bi takav protokol ozbiljno riskirao potkopavanje same osnove društvenog napretka.</w:t>
      </w:r>
    </w:p>
    <w:p w14:paraId="68F5110F" w14:textId="36607A79" w:rsidR="008E4E49" w:rsidRPr="00EF1682" w:rsidRDefault="00802F26" w:rsidP="008E4E49">
      <w:pPr>
        <w:pStyle w:val="HTMLPreformatted"/>
        <w:spacing w:line="540" w:lineRule="atLeast"/>
        <w:rPr>
          <w:rStyle w:val="y2iqfc"/>
          <w:rFonts w:ascii="Arial" w:hAnsi="Arial" w:cs="Arial"/>
          <w:color w:val="202124"/>
          <w:sz w:val="24"/>
          <w:szCs w:val="24"/>
          <w:lang w:val="hr-HR"/>
        </w:rPr>
      </w:pPr>
      <w:r>
        <w:rPr>
          <w:rStyle w:val="y2iqfc"/>
          <w:rFonts w:ascii="Arial" w:hAnsi="Arial" w:cs="Arial"/>
          <w:color w:val="202124"/>
          <w:sz w:val="24"/>
          <w:szCs w:val="24"/>
          <w:lang w:val="hr-HR"/>
        </w:rPr>
        <w:t>P</w:t>
      </w:r>
      <w:r w:rsidR="008E4E49" w:rsidRPr="00EF1682">
        <w:rPr>
          <w:rStyle w:val="y2iqfc"/>
          <w:rFonts w:ascii="Arial" w:hAnsi="Arial" w:cs="Arial"/>
          <w:color w:val="202124"/>
          <w:sz w:val="24"/>
          <w:szCs w:val="24"/>
          <w:lang w:val="hr-HR"/>
        </w:rPr>
        <w:t>rijedlog Protokola o društvenom napretku uveo bi primat socijalnih prava nad ekonomskim slobodama. Nasuprot tome, Povelja EU-a o temeljnim pravima slijedi ispravan pristup štiteći socijalna prava i ekonomske slobode kao dio istog instrumenta iste pravne vrijednosti.</w:t>
      </w:r>
    </w:p>
    <w:p w14:paraId="1C9C66F6" w14:textId="77777777"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 xml:space="preserve">"Dati opći prioritet socijalnim pravima u odnosu na ekonomske slobode bilo bi pogrešno kao i dati opći prioritet ekonomskim slobodama", rekao je Stefano </w:t>
      </w:r>
      <w:proofErr w:type="spellStart"/>
      <w:r w:rsidRPr="00EF1682">
        <w:rPr>
          <w:rStyle w:val="y2iqfc"/>
          <w:rFonts w:ascii="Arial" w:hAnsi="Arial" w:cs="Arial"/>
          <w:color w:val="202124"/>
          <w:sz w:val="24"/>
          <w:szCs w:val="24"/>
          <w:lang w:val="hr-HR"/>
        </w:rPr>
        <w:t>Mallia</w:t>
      </w:r>
      <w:proofErr w:type="spellEnd"/>
      <w:r w:rsidRPr="00EF1682">
        <w:rPr>
          <w:rStyle w:val="y2iqfc"/>
          <w:rFonts w:ascii="Arial" w:hAnsi="Arial" w:cs="Arial"/>
          <w:color w:val="202124"/>
          <w:sz w:val="24"/>
          <w:szCs w:val="24"/>
          <w:lang w:val="hr-HR"/>
        </w:rPr>
        <w:t>, predsjednik Grupe poslodavaca. "Trenutno mišljenje izgleda kao stol s dvije noge. Riskiramo da će se prevrnuti i izgubiti sve što smo do sada postigli", dodao je.</w:t>
      </w:r>
    </w:p>
    <w:p w14:paraId="37269E2B" w14:textId="77777777" w:rsidR="008E4E49" w:rsidRPr="00EF1682" w:rsidRDefault="008E4E49" w:rsidP="008E4E49">
      <w:pPr>
        <w:pStyle w:val="HTMLPreformatted"/>
        <w:spacing w:line="540" w:lineRule="atLeast"/>
        <w:rPr>
          <w:rStyle w:val="y2iqfc"/>
          <w:rFonts w:ascii="Arial" w:hAnsi="Arial" w:cs="Arial"/>
          <w:color w:val="202124"/>
          <w:sz w:val="24"/>
          <w:szCs w:val="24"/>
          <w:lang w:val="hr-HR"/>
        </w:rPr>
      </w:pPr>
    </w:p>
    <w:p w14:paraId="011B0375" w14:textId="662ADF91"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Protokol o socijalnom napretku doista bi zahtijevao promjenu Ugovora, stavljajući točku na postojeću ravnotežu između socijalnih prava i četiri slobode koje podupiru unutarnje tržište, ravnotežu koju trenutno osigurava nekoliko odredbi Ugovora.</w:t>
      </w:r>
    </w:p>
    <w:p w14:paraId="046043FF" w14:textId="58F5A214" w:rsidR="008E4E49" w:rsidRPr="00EF1682" w:rsidRDefault="00D0325A"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Protu mišljenje</w:t>
      </w:r>
      <w:r w:rsidR="008E4E49" w:rsidRPr="00EF1682">
        <w:rPr>
          <w:rStyle w:val="y2iqfc"/>
          <w:rFonts w:ascii="Arial" w:hAnsi="Arial" w:cs="Arial"/>
          <w:color w:val="202124"/>
          <w:sz w:val="24"/>
          <w:szCs w:val="24"/>
          <w:lang w:val="hr-HR"/>
        </w:rPr>
        <w:t xml:space="preserve"> Grupe poslodavaca EGSO-a, koje je dobilo 101 glas za, 133 protiv i 7 suzdržanih, </w:t>
      </w:r>
      <w:r w:rsidRPr="00EF1682">
        <w:rPr>
          <w:rStyle w:val="y2iqfc"/>
          <w:rFonts w:ascii="Arial" w:hAnsi="Arial" w:cs="Arial"/>
          <w:color w:val="202124"/>
          <w:sz w:val="24"/>
          <w:szCs w:val="24"/>
          <w:lang w:val="hr-HR"/>
        </w:rPr>
        <w:t xml:space="preserve">te će u skladu s pravilnikom </w:t>
      </w:r>
      <w:r w:rsidR="008E4E49" w:rsidRPr="00EF1682">
        <w:rPr>
          <w:rStyle w:val="y2iqfc"/>
          <w:rFonts w:ascii="Arial" w:hAnsi="Arial" w:cs="Arial"/>
          <w:color w:val="202124"/>
          <w:sz w:val="24"/>
          <w:szCs w:val="24"/>
          <w:lang w:val="hr-HR"/>
        </w:rPr>
        <w:t>bit</w:t>
      </w:r>
      <w:r w:rsidRPr="00EF1682">
        <w:rPr>
          <w:rStyle w:val="y2iqfc"/>
          <w:rFonts w:ascii="Arial" w:hAnsi="Arial" w:cs="Arial"/>
          <w:color w:val="202124"/>
          <w:sz w:val="24"/>
          <w:szCs w:val="24"/>
          <w:lang w:val="hr-HR"/>
        </w:rPr>
        <w:t>i</w:t>
      </w:r>
      <w:r w:rsidR="008E4E49" w:rsidRPr="00EF1682">
        <w:rPr>
          <w:rStyle w:val="y2iqfc"/>
          <w:rFonts w:ascii="Arial" w:hAnsi="Arial" w:cs="Arial"/>
          <w:color w:val="202124"/>
          <w:sz w:val="24"/>
          <w:szCs w:val="24"/>
          <w:lang w:val="hr-HR"/>
        </w:rPr>
        <w:t xml:space="preserve"> priloženo mišljenju EGSO-a.</w:t>
      </w:r>
    </w:p>
    <w:p w14:paraId="1BF8932F" w14:textId="15CFA767"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 xml:space="preserve">Takav Protokol o socijalnom napretku prvobitno je predložila Europska konfederacija sindikata 2008., nakon odluka Suda pravde EU-a u brojnim presudama, poput slučajeva Viking, </w:t>
      </w:r>
      <w:proofErr w:type="spellStart"/>
      <w:r w:rsidRPr="00EF1682">
        <w:rPr>
          <w:rStyle w:val="y2iqfc"/>
          <w:rFonts w:ascii="Arial" w:hAnsi="Arial" w:cs="Arial"/>
          <w:color w:val="202124"/>
          <w:sz w:val="24"/>
          <w:szCs w:val="24"/>
          <w:lang w:val="hr-HR"/>
        </w:rPr>
        <w:t>Laval</w:t>
      </w:r>
      <w:proofErr w:type="spellEnd"/>
      <w:r w:rsidRPr="00EF1682">
        <w:rPr>
          <w:rStyle w:val="y2iqfc"/>
          <w:rFonts w:ascii="Arial" w:hAnsi="Arial" w:cs="Arial"/>
          <w:color w:val="202124"/>
          <w:sz w:val="24"/>
          <w:szCs w:val="24"/>
          <w:lang w:val="hr-HR"/>
        </w:rPr>
        <w:t xml:space="preserve">, </w:t>
      </w:r>
      <w:proofErr w:type="spellStart"/>
      <w:r w:rsidRPr="00EF1682">
        <w:rPr>
          <w:rStyle w:val="y2iqfc"/>
          <w:rFonts w:ascii="Arial" w:hAnsi="Arial" w:cs="Arial"/>
          <w:color w:val="202124"/>
          <w:sz w:val="24"/>
          <w:szCs w:val="24"/>
          <w:lang w:val="hr-HR"/>
        </w:rPr>
        <w:t>Rüffert</w:t>
      </w:r>
      <w:proofErr w:type="spellEnd"/>
      <w:r w:rsidRPr="00EF1682">
        <w:rPr>
          <w:rStyle w:val="y2iqfc"/>
          <w:rFonts w:ascii="Arial" w:hAnsi="Arial" w:cs="Arial"/>
          <w:color w:val="202124"/>
          <w:sz w:val="24"/>
          <w:szCs w:val="24"/>
          <w:lang w:val="hr-HR"/>
        </w:rPr>
        <w:t xml:space="preserve"> i Luxembourg koji se tiču upućivanja radnika. Prijedlog je ponovno iznijet u kontekstu Konferencije o budućnosti Europe.</w:t>
      </w:r>
    </w:p>
    <w:p w14:paraId="09312D02" w14:textId="5A55D935"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Umjesto da EU izađe s Protokolom o društvenom napretku koji bi narušio ravnotežu između ekonomskih sloboda i socijalnih prava i zadirao u dobro definirane EU i nacionalne nadležnosti, važno je napredovati prema zajedničkom razumijevanju onoga što čini dodanu vrijednost EU, u smislu politike zapošljavanja i socijalne politike.</w:t>
      </w:r>
    </w:p>
    <w:p w14:paraId="3E98583B" w14:textId="358D4986" w:rsidR="008E4E49" w:rsidRPr="00EF1682" w:rsidRDefault="008E4E49" w:rsidP="008E4E49">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Prema Skupini poslodavaca, ciljevi politike zapošljavanja i socijalne politike trebali bi se i dalje rješavati unutar važećih Ugovora i postojećeg zakonodavnog i političkog okvira na razini EU-a i nacionalnoj razini, uz potpuno pošt</w:t>
      </w:r>
      <w:r w:rsidR="00835B5E" w:rsidRPr="00EF1682">
        <w:rPr>
          <w:rStyle w:val="y2iqfc"/>
          <w:rFonts w:ascii="Arial" w:hAnsi="Arial" w:cs="Arial"/>
          <w:color w:val="202124"/>
          <w:sz w:val="24"/>
          <w:szCs w:val="24"/>
          <w:lang w:val="hr-HR"/>
        </w:rPr>
        <w:t>i</w:t>
      </w:r>
      <w:r w:rsidRPr="00EF1682">
        <w:rPr>
          <w:rStyle w:val="y2iqfc"/>
          <w:rFonts w:ascii="Arial" w:hAnsi="Arial" w:cs="Arial"/>
          <w:color w:val="202124"/>
          <w:sz w:val="24"/>
          <w:szCs w:val="24"/>
          <w:lang w:val="hr-HR"/>
        </w:rPr>
        <w:t>vanje autonomije socijalnih partnera. Kao takav, članak 3. stavak 3. UEU-a naglašava da će EU raditi na održivom razvoju koji se temelji na "visoko konkurentnom socijalnom tržišnom gospodarstvu, s ciljem pune zaposlenosti i društvenog napretka".</w:t>
      </w:r>
    </w:p>
    <w:p w14:paraId="6959C368" w14:textId="647FDDEF" w:rsidR="00835B5E" w:rsidRPr="00EF1682" w:rsidRDefault="00835B5E" w:rsidP="00835B5E">
      <w:pPr>
        <w:pStyle w:val="HTMLPreformatted"/>
        <w:spacing w:line="540" w:lineRule="atLeast"/>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Poveznica na mišljenje i protu mišljenje</w:t>
      </w:r>
      <w:r w:rsidR="00802F26">
        <w:rPr>
          <w:rStyle w:val="y2iqfc"/>
          <w:rFonts w:ascii="Arial" w:hAnsi="Arial" w:cs="Arial"/>
          <w:color w:val="202124"/>
          <w:sz w:val="24"/>
          <w:szCs w:val="24"/>
          <w:lang w:val="hr-HR"/>
        </w:rPr>
        <w:t xml:space="preserve">: </w:t>
      </w:r>
      <w:hyperlink r:id="rId7" w:history="1">
        <w:r w:rsidR="00802F26" w:rsidRPr="00C944A3">
          <w:rPr>
            <w:rStyle w:val="Hyperlink"/>
            <w:rFonts w:ascii="Arial" w:hAnsi="Arial" w:cs="Arial"/>
            <w:sz w:val="24"/>
            <w:szCs w:val="24"/>
            <w:lang w:val="hr-HR"/>
          </w:rPr>
          <w:t>https://webapi2016.eesc.europa.eu/v1/documents/EESC-2023-00563-00-00-AC-TRA-HR.docx/content</w:t>
        </w:r>
      </w:hyperlink>
    </w:p>
    <w:p w14:paraId="4BA37145" w14:textId="33AA65F1" w:rsidR="00835B5E" w:rsidRPr="00EF1682" w:rsidRDefault="00835B5E" w:rsidP="008E4E49">
      <w:pPr>
        <w:pStyle w:val="HTMLPreformatted"/>
        <w:spacing w:line="540" w:lineRule="atLeast"/>
        <w:rPr>
          <w:rStyle w:val="y2iqfc"/>
          <w:rFonts w:ascii="Arial" w:hAnsi="Arial" w:cs="Arial"/>
          <w:color w:val="202124"/>
          <w:sz w:val="24"/>
          <w:szCs w:val="24"/>
          <w:lang w:val="hr-HR"/>
        </w:rPr>
      </w:pPr>
    </w:p>
    <w:p w14:paraId="5FD386FA" w14:textId="77777777" w:rsidR="008E4E49" w:rsidRPr="00EF1682" w:rsidRDefault="008E4E49" w:rsidP="008E4E49">
      <w:pPr>
        <w:pStyle w:val="HTMLPreformatted"/>
        <w:spacing w:line="540" w:lineRule="atLeast"/>
        <w:rPr>
          <w:rStyle w:val="y2iqfc"/>
          <w:rFonts w:ascii="Arial" w:hAnsi="Arial" w:cs="Arial"/>
          <w:color w:val="202124"/>
          <w:sz w:val="24"/>
          <w:szCs w:val="24"/>
          <w:lang w:val="hr-HR"/>
        </w:rPr>
      </w:pPr>
    </w:p>
    <w:p w14:paraId="30AABF82" w14:textId="084F4145" w:rsidR="00E44215" w:rsidRPr="00EF1682" w:rsidRDefault="00E44215" w:rsidP="00E44215">
      <w:pPr>
        <w:pStyle w:val="HTMLPreformatted"/>
        <w:spacing w:line="540" w:lineRule="atLeast"/>
        <w:rPr>
          <w:rFonts w:ascii="Arial" w:hAnsi="Arial" w:cs="Arial"/>
          <w:b/>
          <w:bCs/>
          <w:i/>
          <w:iCs/>
          <w:color w:val="202124"/>
          <w:sz w:val="24"/>
          <w:szCs w:val="24"/>
        </w:rPr>
      </w:pPr>
      <w:r w:rsidRPr="00EF1682">
        <w:rPr>
          <w:rStyle w:val="y2iqfc"/>
          <w:rFonts w:ascii="Arial" w:hAnsi="Arial" w:cs="Arial"/>
          <w:b/>
          <w:bCs/>
          <w:i/>
          <w:iCs/>
          <w:color w:val="202124"/>
          <w:sz w:val="24"/>
          <w:szCs w:val="24"/>
          <w:lang w:val="hr-HR"/>
        </w:rPr>
        <w:t>Dan otvorenih vrata 2023.: pregled 65 godina europskih integracija</w:t>
      </w:r>
    </w:p>
    <w:p w14:paraId="13D0FCBD" w14:textId="77777777" w:rsidR="00E44215" w:rsidRPr="00EF1682" w:rsidRDefault="00E44215" w:rsidP="00DC196C">
      <w:pPr>
        <w:rPr>
          <w:rFonts w:ascii="Arial" w:hAnsi="Arial" w:cs="Arial"/>
          <w:color w:val="424242"/>
          <w:sz w:val="24"/>
          <w:szCs w:val="24"/>
        </w:rPr>
      </w:pPr>
    </w:p>
    <w:p w14:paraId="6EE4E487" w14:textId="77777777" w:rsidR="00E44215" w:rsidRPr="00EF1682" w:rsidRDefault="00E44215" w:rsidP="00DC196C">
      <w:pPr>
        <w:rPr>
          <w:rFonts w:ascii="Arial" w:hAnsi="Arial" w:cs="Arial"/>
          <w:color w:val="424242"/>
          <w:sz w:val="24"/>
          <w:szCs w:val="24"/>
        </w:rPr>
      </w:pPr>
    </w:p>
    <w:p w14:paraId="0B1FA6BF" w14:textId="5E297841" w:rsidR="00DC196C" w:rsidRPr="00EF1682" w:rsidRDefault="00DC196C" w:rsidP="00DC196C">
      <w:pPr>
        <w:rPr>
          <w:rFonts w:ascii="Arial" w:hAnsi="Arial" w:cs="Arial"/>
          <w:color w:val="424242"/>
          <w:sz w:val="24"/>
          <w:szCs w:val="24"/>
        </w:rPr>
      </w:pPr>
      <w:r w:rsidRPr="00EF1682">
        <w:rPr>
          <w:rFonts w:ascii="Arial" w:hAnsi="Arial" w:cs="Arial"/>
          <w:color w:val="424242"/>
          <w:sz w:val="24"/>
          <w:szCs w:val="24"/>
        </w:rPr>
        <w:fldChar w:fldCharType="begin"/>
      </w:r>
      <w:r w:rsidRPr="00EF1682">
        <w:rPr>
          <w:rFonts w:ascii="Arial" w:hAnsi="Arial" w:cs="Arial"/>
          <w:color w:val="424242"/>
          <w:sz w:val="24"/>
          <w:szCs w:val="24"/>
        </w:rPr>
        <w:instrText xml:space="preserve"> INCLUDEPICTURE "/Users/seka/Library/Group Containers/UBF8T346G9.ms/WebArchiveCopyPasteTempFiles/com.microsoft.Word/open_day_6_may_2023-67.jpg?itok=Ul_hDS44" \* MERGEFORMATINET </w:instrText>
      </w:r>
      <w:r w:rsidRPr="00EF1682">
        <w:rPr>
          <w:rFonts w:ascii="Arial" w:hAnsi="Arial" w:cs="Arial"/>
          <w:color w:val="424242"/>
          <w:sz w:val="24"/>
          <w:szCs w:val="24"/>
        </w:rPr>
        <w:fldChar w:fldCharType="separate"/>
      </w:r>
      <w:r w:rsidRPr="00EF1682">
        <w:rPr>
          <w:rFonts w:ascii="Arial" w:hAnsi="Arial" w:cs="Arial"/>
          <w:noProof/>
          <w:color w:val="424242"/>
          <w:sz w:val="24"/>
          <w:szCs w:val="24"/>
        </w:rPr>
        <w:drawing>
          <wp:inline distT="0" distB="0" distL="0" distR="0" wp14:anchorId="40C0BBB9" wp14:editId="4B0002C6">
            <wp:extent cx="3108214" cy="2072029"/>
            <wp:effectExtent l="0" t="0" r="3810" b="0"/>
            <wp:docPr id="668273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73194"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0276" cy="2080070"/>
                    </a:xfrm>
                    <a:prstGeom prst="rect">
                      <a:avLst/>
                    </a:prstGeom>
                    <a:noFill/>
                    <a:ln>
                      <a:noFill/>
                    </a:ln>
                  </pic:spPr>
                </pic:pic>
              </a:graphicData>
            </a:graphic>
          </wp:inline>
        </w:drawing>
      </w:r>
      <w:r w:rsidRPr="00EF1682">
        <w:rPr>
          <w:rFonts w:ascii="Arial" w:hAnsi="Arial" w:cs="Arial"/>
          <w:color w:val="424242"/>
          <w:sz w:val="24"/>
          <w:szCs w:val="24"/>
        </w:rPr>
        <w:fldChar w:fldCharType="end"/>
      </w:r>
    </w:p>
    <w:p w14:paraId="05D41146" w14:textId="77777777" w:rsidR="00E44215" w:rsidRPr="00EF1682" w:rsidRDefault="00E44215" w:rsidP="00E44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4"/>
          <w:szCs w:val="24"/>
          <w:lang w:eastAsia="en-GB"/>
        </w:rPr>
      </w:pPr>
      <w:r w:rsidRPr="00EF1682">
        <w:rPr>
          <w:rFonts w:ascii="Arial" w:hAnsi="Arial" w:cs="Arial"/>
          <w:color w:val="202124"/>
          <w:sz w:val="24"/>
          <w:szCs w:val="24"/>
          <w:lang w:eastAsia="en-GB"/>
        </w:rPr>
        <w:t>Po prvi put od pandemije, Europski gospodarski i socijalni odbor (EGSO) otvorio je svoja vrata javnosti u subotu 6. svibnja kako bi proslavio Europu i raspravio budućnost Europske unije.</w:t>
      </w:r>
    </w:p>
    <w:p w14:paraId="33A76AB9" w14:textId="77777777" w:rsidR="00E44215" w:rsidRPr="00EF1682" w:rsidRDefault="00E44215" w:rsidP="00E44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4"/>
          <w:szCs w:val="24"/>
          <w:lang w:eastAsia="en-GB"/>
        </w:rPr>
      </w:pPr>
      <w:r w:rsidRPr="00EF1682">
        <w:rPr>
          <w:rFonts w:ascii="Arial" w:hAnsi="Arial" w:cs="Arial"/>
          <w:color w:val="202124"/>
          <w:sz w:val="24"/>
          <w:szCs w:val="24"/>
          <w:lang w:eastAsia="en-GB"/>
        </w:rPr>
        <w:t>Prilika za razmišljanje o tome što su mir, suradnja i solidarnost izgradili tijekom proteklih 65 godina europskih integracija, s pogledom u budućnost. Imajući to na umu, Europski gospodarski i socijalni odbor (EGSO) održao je svoj tradicionalni Dan otvorenih vrata u subotu, 6. svibnja 2023.</w:t>
      </w:r>
    </w:p>
    <w:p w14:paraId="38B5FFD5" w14:textId="77777777" w:rsidR="00E44215" w:rsidRPr="00EF1682" w:rsidRDefault="00E44215" w:rsidP="00E44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4"/>
          <w:szCs w:val="24"/>
          <w:lang w:eastAsia="en-GB"/>
        </w:rPr>
      </w:pPr>
      <w:r w:rsidRPr="00EF1682">
        <w:rPr>
          <w:rFonts w:ascii="Arial" w:hAnsi="Arial" w:cs="Arial"/>
          <w:color w:val="202124"/>
          <w:sz w:val="24"/>
          <w:szCs w:val="24"/>
          <w:lang w:eastAsia="en-GB"/>
        </w:rPr>
        <w:t xml:space="preserve">Dan otvorenih vrata EGSO-a slavio je postignuća Europske unije nekoliko dana uoči 9. svibnja, Dana Europe, kojim se obilježava godišnjica </w:t>
      </w:r>
      <w:proofErr w:type="spellStart"/>
      <w:r w:rsidRPr="00EF1682">
        <w:rPr>
          <w:rFonts w:ascii="Arial" w:hAnsi="Arial" w:cs="Arial"/>
          <w:color w:val="202124"/>
          <w:sz w:val="24"/>
          <w:szCs w:val="24"/>
          <w:lang w:eastAsia="en-GB"/>
        </w:rPr>
        <w:t>Schumanove</w:t>
      </w:r>
      <w:proofErr w:type="spellEnd"/>
      <w:r w:rsidRPr="00EF1682">
        <w:rPr>
          <w:rFonts w:ascii="Arial" w:hAnsi="Arial" w:cs="Arial"/>
          <w:color w:val="202124"/>
          <w:sz w:val="24"/>
          <w:szCs w:val="24"/>
          <w:lang w:eastAsia="en-GB"/>
        </w:rPr>
        <w:t xml:space="preserve"> deklaracije, povijesnog govora francuskog ministra vanjskih poslova Roberta Schumana 1950., koji se smatra kamenom temeljcem procesa europskih integracija.</w:t>
      </w:r>
    </w:p>
    <w:p w14:paraId="392467A8" w14:textId="77777777" w:rsidR="00E44215" w:rsidRPr="00EF1682" w:rsidRDefault="00E44215" w:rsidP="00E44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4"/>
          <w:szCs w:val="24"/>
          <w:lang w:eastAsia="en-GB"/>
        </w:rPr>
      </w:pPr>
      <w:r w:rsidRPr="00EF1682">
        <w:rPr>
          <w:rFonts w:ascii="Arial" w:hAnsi="Arial" w:cs="Arial"/>
          <w:color w:val="202124"/>
          <w:sz w:val="24"/>
          <w:szCs w:val="24"/>
          <w:lang w:eastAsia="en-GB"/>
        </w:rPr>
        <w:t xml:space="preserve">Dan Europe izvrsna je prilika da zastanemo, sagledamo situaciju i razmislimo o tome koliko stvari u našoj Uniji uzimamo zdravo za gotovo, rekao je </w:t>
      </w:r>
      <w:proofErr w:type="spellStart"/>
      <w:r w:rsidRPr="00EF1682">
        <w:rPr>
          <w:rFonts w:ascii="Arial" w:hAnsi="Arial" w:cs="Arial"/>
          <w:color w:val="202124"/>
          <w:sz w:val="24"/>
          <w:szCs w:val="24"/>
          <w:lang w:eastAsia="en-GB"/>
        </w:rPr>
        <w:t>Aurel</w:t>
      </w:r>
      <w:proofErr w:type="spellEnd"/>
      <w:r w:rsidRPr="00EF1682">
        <w:rPr>
          <w:rFonts w:ascii="Arial" w:hAnsi="Arial" w:cs="Arial"/>
          <w:color w:val="202124"/>
          <w:sz w:val="24"/>
          <w:szCs w:val="24"/>
          <w:lang w:eastAsia="en-GB"/>
        </w:rPr>
        <w:t xml:space="preserve"> </w:t>
      </w:r>
      <w:proofErr w:type="spellStart"/>
      <w:r w:rsidRPr="00EF1682">
        <w:rPr>
          <w:rFonts w:ascii="Arial" w:hAnsi="Arial" w:cs="Arial"/>
          <w:color w:val="202124"/>
          <w:sz w:val="24"/>
          <w:szCs w:val="24"/>
          <w:lang w:eastAsia="en-GB"/>
        </w:rPr>
        <w:t>Laurenţiu</w:t>
      </w:r>
      <w:proofErr w:type="spellEnd"/>
      <w:r w:rsidRPr="00EF1682">
        <w:rPr>
          <w:rFonts w:ascii="Arial" w:hAnsi="Arial" w:cs="Arial"/>
          <w:color w:val="202124"/>
          <w:sz w:val="24"/>
          <w:szCs w:val="24"/>
          <w:lang w:eastAsia="en-GB"/>
        </w:rPr>
        <w:t xml:space="preserve"> </w:t>
      </w:r>
      <w:proofErr w:type="spellStart"/>
      <w:r w:rsidRPr="00EF1682">
        <w:rPr>
          <w:rFonts w:ascii="Arial" w:hAnsi="Arial" w:cs="Arial"/>
          <w:color w:val="202124"/>
          <w:sz w:val="24"/>
          <w:szCs w:val="24"/>
          <w:lang w:eastAsia="en-GB"/>
        </w:rPr>
        <w:t>Plosceanu</w:t>
      </w:r>
      <w:proofErr w:type="spellEnd"/>
      <w:r w:rsidRPr="00EF1682">
        <w:rPr>
          <w:rFonts w:ascii="Arial" w:hAnsi="Arial" w:cs="Arial"/>
          <w:color w:val="202124"/>
          <w:sz w:val="24"/>
          <w:szCs w:val="24"/>
          <w:lang w:eastAsia="en-GB"/>
        </w:rPr>
        <w:t>, potpredsjednik EGSO-a za komunikacije. U Europi smo izgradili Europsku uniju oko zajedničkog projekta koji se temelji na jedinstvu, različitosti i međusobnim snagama i učinili smo rat između država članica nezamislivim.</w:t>
      </w:r>
    </w:p>
    <w:p w14:paraId="44A96EF3" w14:textId="77777777" w:rsidR="00E44215" w:rsidRPr="00EF1682" w:rsidRDefault="00E44215" w:rsidP="00E44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4"/>
          <w:szCs w:val="24"/>
          <w:lang w:eastAsia="en-GB"/>
        </w:rPr>
      </w:pPr>
      <w:r w:rsidRPr="00EF1682">
        <w:rPr>
          <w:rFonts w:ascii="Arial" w:hAnsi="Arial" w:cs="Arial"/>
          <w:color w:val="202124"/>
          <w:sz w:val="24"/>
          <w:szCs w:val="24"/>
          <w:lang w:eastAsia="en-GB"/>
        </w:rPr>
        <w:t>Po prvi put od završetka krize izazvane COVID-19, Dan otvorenih vrata EGSO-a ponudio je javnosti jedinstvenu priliku da sazna više o Odboru i kako on utječe na proces donošenja odluka u EU: EGSO je jedina institucija EU predstavljanje organiziranog civilnog društva, uključujući poslodavce, radnike i druge interesne skupine kao što su organizacije mladih, ekolozi, potrošači, poljoprivrednici, ženske skupine i mnogi drugi.</w:t>
      </w:r>
    </w:p>
    <w:p w14:paraId="35D3D917" w14:textId="7EE3A350" w:rsidR="00E44215" w:rsidRPr="00EF1682" w:rsidRDefault="00E44215" w:rsidP="00835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4"/>
          <w:szCs w:val="24"/>
          <w:lang w:eastAsia="en-GB"/>
        </w:rPr>
      </w:pPr>
      <w:r w:rsidRPr="00EF1682">
        <w:rPr>
          <w:rFonts w:ascii="Arial" w:hAnsi="Arial" w:cs="Arial"/>
          <w:color w:val="202124"/>
          <w:sz w:val="24"/>
          <w:szCs w:val="24"/>
          <w:lang w:eastAsia="en-GB"/>
        </w:rPr>
        <w:t>Poseban fokus ove godine bio je na mogućnostima za cjeloživotno učenje budući da je 2023. Europska godina vještina.</w:t>
      </w:r>
    </w:p>
    <w:p w14:paraId="1F03189A" w14:textId="77777777" w:rsidR="00835B5E" w:rsidRPr="00EF1682" w:rsidRDefault="00835B5E" w:rsidP="00835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Style w:val="Strong"/>
          <w:rFonts w:ascii="Arial" w:hAnsi="Arial" w:cs="Arial"/>
          <w:b w:val="0"/>
          <w:bCs w:val="0"/>
          <w:color w:val="202124"/>
          <w:sz w:val="24"/>
          <w:szCs w:val="24"/>
          <w:lang w:val="en-BE" w:eastAsia="en-GB"/>
        </w:rPr>
      </w:pPr>
    </w:p>
    <w:p w14:paraId="31ACBAB4" w14:textId="77777777" w:rsidR="00707D02" w:rsidRPr="00EF1682" w:rsidRDefault="00707D02" w:rsidP="00707D02">
      <w:pPr>
        <w:pStyle w:val="HTMLPreformatted"/>
        <w:spacing w:line="540" w:lineRule="atLeast"/>
        <w:rPr>
          <w:rStyle w:val="y2iqfc"/>
          <w:rFonts w:ascii="Arial" w:hAnsi="Arial" w:cs="Arial"/>
          <w:b/>
          <w:bCs/>
          <w:i/>
          <w:iCs/>
          <w:color w:val="202124"/>
          <w:sz w:val="24"/>
          <w:szCs w:val="24"/>
        </w:rPr>
      </w:pPr>
      <w:r w:rsidRPr="00EF1682">
        <w:rPr>
          <w:rStyle w:val="y2iqfc"/>
          <w:rFonts w:ascii="Arial" w:hAnsi="Arial" w:cs="Arial"/>
          <w:b/>
          <w:bCs/>
          <w:i/>
          <w:iCs/>
          <w:color w:val="202124"/>
          <w:sz w:val="24"/>
          <w:szCs w:val="24"/>
          <w:lang w:val="hr-HR"/>
        </w:rPr>
        <w:t>Kako potaknuti Europsku građansku inicijativu?</w:t>
      </w:r>
    </w:p>
    <w:p w14:paraId="5322A7D1" w14:textId="77777777" w:rsidR="00DC196C" w:rsidRPr="00EF1682" w:rsidRDefault="00DC196C" w:rsidP="00DC196C">
      <w:pPr>
        <w:rPr>
          <w:rFonts w:ascii="Arial" w:hAnsi="Arial" w:cs="Arial"/>
          <w:sz w:val="24"/>
          <w:szCs w:val="24"/>
          <w:lang w:val="en-BE"/>
        </w:rPr>
      </w:pPr>
    </w:p>
    <w:p w14:paraId="6E76F955" w14:textId="77777777" w:rsidR="00B225F3" w:rsidRPr="00EF1682" w:rsidRDefault="00B225F3">
      <w:pPr>
        <w:rPr>
          <w:rFonts w:ascii="Arial" w:hAnsi="Arial" w:cs="Arial"/>
          <w:sz w:val="24"/>
          <w:szCs w:val="24"/>
        </w:rPr>
      </w:pPr>
    </w:p>
    <w:p w14:paraId="1564721E" w14:textId="1C6F4222" w:rsidR="00DD0DF2" w:rsidRPr="00EF1682" w:rsidRDefault="00DD0DF2" w:rsidP="00DD0DF2">
      <w:pPr>
        <w:rPr>
          <w:rFonts w:ascii="Arial" w:hAnsi="Arial" w:cs="Arial"/>
          <w:color w:val="424242"/>
          <w:sz w:val="24"/>
          <w:szCs w:val="24"/>
        </w:rPr>
      </w:pPr>
      <w:r w:rsidRPr="00EF1682">
        <w:rPr>
          <w:rFonts w:ascii="Arial" w:hAnsi="Arial" w:cs="Arial"/>
          <w:color w:val="424242"/>
          <w:sz w:val="24"/>
          <w:szCs w:val="24"/>
        </w:rPr>
        <w:fldChar w:fldCharType="begin"/>
      </w:r>
      <w:r w:rsidRPr="00EF1682">
        <w:rPr>
          <w:rFonts w:ascii="Arial" w:hAnsi="Arial" w:cs="Arial"/>
          <w:color w:val="424242"/>
          <w:sz w:val="24"/>
          <w:szCs w:val="24"/>
        </w:rPr>
        <w:instrText xml:space="preserve"> INCLUDEPICTURE "/Users/seka/Library/Group Containers/UBF8T346G9.ms/WebArchiveCopyPasteTempFiles/com.microsoft.Word/nn9v6u1k.png?itok=mH95PJrj" \* MERGEFORMATINET </w:instrText>
      </w:r>
      <w:r w:rsidRPr="00EF1682">
        <w:rPr>
          <w:rFonts w:ascii="Arial" w:hAnsi="Arial" w:cs="Arial"/>
          <w:color w:val="424242"/>
          <w:sz w:val="24"/>
          <w:szCs w:val="24"/>
        </w:rPr>
        <w:fldChar w:fldCharType="separate"/>
      </w:r>
      <w:r w:rsidRPr="00EF1682">
        <w:rPr>
          <w:rFonts w:ascii="Arial" w:hAnsi="Arial" w:cs="Arial"/>
          <w:noProof/>
          <w:color w:val="424242"/>
          <w:sz w:val="24"/>
          <w:szCs w:val="24"/>
        </w:rPr>
        <w:drawing>
          <wp:inline distT="0" distB="0" distL="0" distR="0" wp14:anchorId="13B19EFB" wp14:editId="36F472D0">
            <wp:extent cx="3131607" cy="1899920"/>
            <wp:effectExtent l="0" t="0" r="5715" b="5080"/>
            <wp:docPr id="1684223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2391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045" cy="1902612"/>
                    </a:xfrm>
                    <a:prstGeom prst="rect">
                      <a:avLst/>
                    </a:prstGeom>
                    <a:noFill/>
                    <a:ln>
                      <a:noFill/>
                    </a:ln>
                  </pic:spPr>
                </pic:pic>
              </a:graphicData>
            </a:graphic>
          </wp:inline>
        </w:drawing>
      </w:r>
      <w:r w:rsidRPr="00EF1682">
        <w:rPr>
          <w:rFonts w:ascii="Arial" w:hAnsi="Arial" w:cs="Arial"/>
          <w:color w:val="424242"/>
          <w:sz w:val="24"/>
          <w:szCs w:val="24"/>
        </w:rPr>
        <w:fldChar w:fldCharType="end"/>
      </w:r>
    </w:p>
    <w:p w14:paraId="45C14A04" w14:textId="2C3211A7" w:rsidR="00E44215" w:rsidRPr="00EF1682" w:rsidRDefault="00E44215" w:rsidP="00802F26">
      <w:pPr>
        <w:pStyle w:val="HTMLPreformatted"/>
        <w:spacing w:line="540" w:lineRule="atLeast"/>
        <w:jc w:val="both"/>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Nedostatak medijske pokrivenosti, problemi u dopiranju do građana, financijske poteškoće i neizvjesno političko praćenje bila su među pitanjima europske građanske inicijative o kojima se raspravljalo na Europskom gospodarskom i socijalnom odboru.</w:t>
      </w:r>
    </w:p>
    <w:p w14:paraId="23414615" w14:textId="2DA7E2D6" w:rsidR="00E44215" w:rsidRPr="00EF1682" w:rsidRDefault="00E44215" w:rsidP="00802F26">
      <w:pPr>
        <w:pStyle w:val="HTMLPreformatted"/>
        <w:spacing w:line="540" w:lineRule="atLeast"/>
        <w:jc w:val="both"/>
        <w:rPr>
          <w:rStyle w:val="y2iqfc"/>
          <w:rFonts w:ascii="Arial" w:hAnsi="Arial" w:cs="Arial"/>
          <w:color w:val="202124"/>
          <w:sz w:val="24"/>
          <w:szCs w:val="24"/>
          <w:lang w:val="hr-HR"/>
        </w:rPr>
      </w:pPr>
      <w:r w:rsidRPr="00EF1682">
        <w:rPr>
          <w:rStyle w:val="y2iqfc"/>
          <w:rFonts w:ascii="Arial" w:hAnsi="Arial" w:cs="Arial"/>
          <w:color w:val="202124"/>
          <w:sz w:val="24"/>
          <w:szCs w:val="24"/>
          <w:lang w:val="hr-HR"/>
        </w:rPr>
        <w:t>"Usavršavanje građana za uspješnu europsku građansku inicijativu s učinkom!" bila je tema ovogodišnjeg Dana europske građanske inicijative (E</w:t>
      </w:r>
      <w:r w:rsidR="00083E1E" w:rsidRPr="00EF1682">
        <w:rPr>
          <w:rStyle w:val="y2iqfc"/>
          <w:rFonts w:ascii="Arial" w:hAnsi="Arial" w:cs="Arial"/>
          <w:color w:val="202124"/>
          <w:sz w:val="24"/>
          <w:szCs w:val="24"/>
          <w:lang w:val="hr-HR"/>
        </w:rPr>
        <w:t>G</w:t>
      </w:r>
      <w:r w:rsidRPr="00EF1682">
        <w:rPr>
          <w:rStyle w:val="y2iqfc"/>
          <w:rFonts w:ascii="Arial" w:hAnsi="Arial" w:cs="Arial"/>
          <w:color w:val="202124"/>
          <w:sz w:val="24"/>
          <w:szCs w:val="24"/>
          <w:lang w:val="hr-HR"/>
        </w:rPr>
        <w:t>I) koji je organizirao EGSO, a koji je održan 8. lipnja 2023. Cilj je bio raspraviti lekcije naučene iz dosadašnjih uspjeha i problema EGI-a te raspraviti u nekoliko radionica što bi se moglo poboljšati u bliskoj budućnosti.</w:t>
      </w:r>
    </w:p>
    <w:p w14:paraId="1A2A6A2C" w14:textId="145DA407" w:rsidR="00E44215" w:rsidRPr="00EF1682" w:rsidRDefault="00E44215" w:rsidP="00802F26">
      <w:pPr>
        <w:pStyle w:val="HTMLPreformatted"/>
        <w:spacing w:line="540" w:lineRule="atLeast"/>
        <w:jc w:val="both"/>
        <w:rPr>
          <w:rFonts w:ascii="Arial" w:hAnsi="Arial" w:cs="Arial"/>
          <w:color w:val="202124"/>
          <w:sz w:val="24"/>
          <w:szCs w:val="24"/>
        </w:rPr>
      </w:pPr>
      <w:r w:rsidRPr="00EF1682">
        <w:rPr>
          <w:rStyle w:val="y2iqfc"/>
          <w:rFonts w:ascii="Arial" w:hAnsi="Arial" w:cs="Arial"/>
          <w:color w:val="202124"/>
          <w:sz w:val="24"/>
          <w:szCs w:val="24"/>
          <w:lang w:val="hr-HR"/>
        </w:rPr>
        <w:t xml:space="preserve">Oliver </w:t>
      </w:r>
      <w:proofErr w:type="spellStart"/>
      <w:r w:rsidRPr="00EF1682">
        <w:rPr>
          <w:rStyle w:val="y2iqfc"/>
          <w:rFonts w:ascii="Arial" w:hAnsi="Arial" w:cs="Arial"/>
          <w:color w:val="202124"/>
          <w:sz w:val="24"/>
          <w:szCs w:val="24"/>
          <w:lang w:val="hr-HR"/>
        </w:rPr>
        <w:t>Röpke</w:t>
      </w:r>
      <w:proofErr w:type="spellEnd"/>
      <w:r w:rsidRPr="00EF1682">
        <w:rPr>
          <w:rStyle w:val="y2iqfc"/>
          <w:rFonts w:ascii="Arial" w:hAnsi="Arial" w:cs="Arial"/>
          <w:color w:val="202124"/>
          <w:sz w:val="24"/>
          <w:szCs w:val="24"/>
          <w:lang w:val="hr-HR"/>
        </w:rPr>
        <w:t>, predsjednik Europskog gospodarskog i socijalnog odbora, rekao je da je za dobro funkcioniranje demokracije neophodno najšire moguće i najaktivnije sudjelovanje građana. Predsjednik je najavio da će, uoči izbora za Europski parlament 2024., EGSO organizirati prvo izdanje svog Tjedna civilnog društva, kombinirajući tri glavna događaja: E</w:t>
      </w:r>
      <w:r w:rsidR="00083E1E" w:rsidRPr="00EF1682">
        <w:rPr>
          <w:rStyle w:val="y2iqfc"/>
          <w:rFonts w:ascii="Arial" w:hAnsi="Arial" w:cs="Arial"/>
          <w:color w:val="202124"/>
          <w:sz w:val="24"/>
          <w:szCs w:val="24"/>
          <w:lang w:val="hr-HR"/>
        </w:rPr>
        <w:t>G</w:t>
      </w:r>
      <w:r w:rsidRPr="00EF1682">
        <w:rPr>
          <w:rStyle w:val="y2iqfc"/>
          <w:rFonts w:ascii="Arial" w:hAnsi="Arial" w:cs="Arial"/>
          <w:color w:val="202124"/>
          <w:sz w:val="24"/>
          <w:szCs w:val="24"/>
          <w:lang w:val="hr-HR"/>
        </w:rPr>
        <w:t>I Dan, Dane civilnog društva i Nagradu za civilno društvo, u jedinstven</w:t>
      </w:r>
      <w:r w:rsidR="00083E1E" w:rsidRPr="00EF1682">
        <w:rPr>
          <w:rStyle w:val="y2iqfc"/>
          <w:rFonts w:ascii="Arial" w:hAnsi="Arial" w:cs="Arial"/>
          <w:color w:val="202124"/>
          <w:sz w:val="24"/>
          <w:szCs w:val="24"/>
          <w:lang w:val="hr-HR"/>
        </w:rPr>
        <w:t>u</w:t>
      </w:r>
      <w:r w:rsidRPr="00EF1682">
        <w:rPr>
          <w:rStyle w:val="y2iqfc"/>
          <w:rFonts w:ascii="Arial" w:hAnsi="Arial" w:cs="Arial"/>
          <w:color w:val="202124"/>
          <w:sz w:val="24"/>
          <w:szCs w:val="24"/>
          <w:lang w:val="hr-HR"/>
        </w:rPr>
        <w:t xml:space="preserve">, </w:t>
      </w:r>
      <w:r w:rsidR="00083E1E" w:rsidRPr="00EF1682">
        <w:rPr>
          <w:rStyle w:val="y2iqfc"/>
          <w:rFonts w:ascii="Arial" w:hAnsi="Arial" w:cs="Arial"/>
          <w:color w:val="202124"/>
          <w:sz w:val="24"/>
          <w:szCs w:val="24"/>
          <w:lang w:val="hr-HR"/>
        </w:rPr>
        <w:t>visoko profilnu</w:t>
      </w:r>
      <w:r w:rsidRPr="00EF1682">
        <w:rPr>
          <w:rStyle w:val="y2iqfc"/>
          <w:rFonts w:ascii="Arial" w:hAnsi="Arial" w:cs="Arial"/>
          <w:color w:val="202124"/>
          <w:sz w:val="24"/>
          <w:szCs w:val="24"/>
          <w:lang w:val="hr-HR"/>
        </w:rPr>
        <w:t xml:space="preserve"> </w:t>
      </w:r>
      <w:proofErr w:type="spellStart"/>
      <w:r w:rsidRPr="00EF1682">
        <w:rPr>
          <w:rStyle w:val="y2iqfc"/>
          <w:rFonts w:ascii="Arial" w:hAnsi="Arial" w:cs="Arial"/>
          <w:color w:val="202124"/>
          <w:sz w:val="24"/>
          <w:szCs w:val="24"/>
          <w:lang w:val="hr-HR"/>
        </w:rPr>
        <w:t>cjelotjedn</w:t>
      </w:r>
      <w:r w:rsidR="00083E1E" w:rsidRPr="00EF1682">
        <w:rPr>
          <w:rStyle w:val="y2iqfc"/>
          <w:rFonts w:ascii="Arial" w:hAnsi="Arial" w:cs="Arial"/>
          <w:color w:val="202124"/>
          <w:sz w:val="24"/>
          <w:szCs w:val="24"/>
          <w:lang w:val="hr-HR"/>
        </w:rPr>
        <w:t>u</w:t>
      </w:r>
      <w:proofErr w:type="spellEnd"/>
      <w:r w:rsidRPr="00EF1682">
        <w:rPr>
          <w:rStyle w:val="y2iqfc"/>
          <w:rFonts w:ascii="Arial" w:hAnsi="Arial" w:cs="Arial"/>
          <w:color w:val="202124"/>
          <w:sz w:val="24"/>
          <w:szCs w:val="24"/>
          <w:lang w:val="hr-HR"/>
        </w:rPr>
        <w:t xml:space="preserve"> konferencij</w:t>
      </w:r>
      <w:r w:rsidR="00083E1E" w:rsidRPr="00EF1682">
        <w:rPr>
          <w:rStyle w:val="y2iqfc"/>
          <w:rFonts w:ascii="Arial" w:hAnsi="Arial" w:cs="Arial"/>
          <w:color w:val="202124"/>
          <w:sz w:val="24"/>
          <w:szCs w:val="24"/>
          <w:lang w:val="hr-HR"/>
        </w:rPr>
        <w:t>u</w:t>
      </w:r>
      <w:r w:rsidRPr="00EF1682">
        <w:rPr>
          <w:rStyle w:val="y2iqfc"/>
          <w:rFonts w:ascii="Arial" w:hAnsi="Arial" w:cs="Arial"/>
          <w:color w:val="202124"/>
          <w:sz w:val="24"/>
          <w:szCs w:val="24"/>
          <w:lang w:val="hr-HR"/>
        </w:rPr>
        <w:t xml:space="preserve">. U današnjem svijetu građani i civilno društvo – s pravom – očekuju izravniju uključenost u demokratske procese i donošenje odluka, rekao je predsjednik </w:t>
      </w:r>
      <w:proofErr w:type="spellStart"/>
      <w:r w:rsidRPr="00EF1682">
        <w:rPr>
          <w:rStyle w:val="y2iqfc"/>
          <w:rFonts w:ascii="Arial" w:hAnsi="Arial" w:cs="Arial"/>
          <w:color w:val="202124"/>
          <w:sz w:val="24"/>
          <w:szCs w:val="24"/>
          <w:lang w:val="hr-HR"/>
        </w:rPr>
        <w:t>Röpke</w:t>
      </w:r>
      <w:proofErr w:type="spellEnd"/>
      <w:r w:rsidRPr="00EF1682">
        <w:rPr>
          <w:rStyle w:val="y2iqfc"/>
          <w:rFonts w:ascii="Arial" w:hAnsi="Arial" w:cs="Arial"/>
          <w:color w:val="202124"/>
          <w:sz w:val="24"/>
          <w:szCs w:val="24"/>
          <w:lang w:val="hr-HR"/>
        </w:rPr>
        <w:t>.</w:t>
      </w:r>
    </w:p>
    <w:p w14:paraId="32AAD128" w14:textId="335D88EE" w:rsidR="00B4255B" w:rsidRPr="00EF1682" w:rsidRDefault="00B4255B" w:rsidP="00802F26">
      <w:pPr>
        <w:pStyle w:val="HTMLPreformatted"/>
        <w:spacing w:line="540" w:lineRule="atLeast"/>
        <w:jc w:val="both"/>
        <w:rPr>
          <w:rFonts w:ascii="Arial" w:hAnsi="Arial" w:cs="Arial"/>
          <w:color w:val="202124"/>
          <w:sz w:val="24"/>
          <w:szCs w:val="24"/>
        </w:rPr>
      </w:pPr>
      <w:r w:rsidRPr="00EF1682">
        <w:rPr>
          <w:rStyle w:val="y2iqfc"/>
          <w:rFonts w:ascii="Arial" w:hAnsi="Arial" w:cs="Arial"/>
          <w:color w:val="202124"/>
          <w:sz w:val="24"/>
          <w:szCs w:val="24"/>
          <w:lang w:val="hr-HR"/>
        </w:rPr>
        <w:t xml:space="preserve">Europska građanska inicijativa jedinstven je način na koji građani mogu pomoći u oblikovanju EU tražeći od Europske komisije da predloži nove zakone. Nakon što inicijativa dosegne milijun potpisa iz najmanje sedam država članica EU-a, Komisija odlučuje što će poduzeti. Nije na meni da nam dajem viziju budućnosti. To je za mlade ljude. ECI može biti vrlo koristan alat za njih da dođu do novih ideja. I možda ćemo kroz ECI, kroz takav angažman mladih ljudi, vidjeti kako dolaze novi lideri Europe, rekla je </w:t>
      </w:r>
      <w:proofErr w:type="spellStart"/>
      <w:r w:rsidRPr="00EF1682">
        <w:rPr>
          <w:rStyle w:val="y2iqfc"/>
          <w:rFonts w:ascii="Arial" w:hAnsi="Arial" w:cs="Arial"/>
          <w:color w:val="202124"/>
          <w:sz w:val="24"/>
          <w:szCs w:val="24"/>
          <w:lang w:val="hr-HR"/>
        </w:rPr>
        <w:t>Věra</w:t>
      </w:r>
      <w:proofErr w:type="spellEnd"/>
      <w:r w:rsidRPr="00EF1682">
        <w:rPr>
          <w:rStyle w:val="y2iqfc"/>
          <w:rFonts w:ascii="Arial" w:hAnsi="Arial" w:cs="Arial"/>
          <w:color w:val="202124"/>
          <w:sz w:val="24"/>
          <w:szCs w:val="24"/>
          <w:lang w:val="hr-HR"/>
        </w:rPr>
        <w:t xml:space="preserve"> </w:t>
      </w:r>
      <w:proofErr w:type="spellStart"/>
      <w:r w:rsidRPr="00EF1682">
        <w:rPr>
          <w:rStyle w:val="y2iqfc"/>
          <w:rFonts w:ascii="Arial" w:hAnsi="Arial" w:cs="Arial"/>
          <w:color w:val="202124"/>
          <w:sz w:val="24"/>
          <w:szCs w:val="24"/>
          <w:lang w:val="hr-HR"/>
        </w:rPr>
        <w:t>Jourová</w:t>
      </w:r>
      <w:proofErr w:type="spellEnd"/>
      <w:r w:rsidRPr="00EF1682">
        <w:rPr>
          <w:rStyle w:val="y2iqfc"/>
          <w:rFonts w:ascii="Arial" w:hAnsi="Arial" w:cs="Arial"/>
          <w:color w:val="202124"/>
          <w:sz w:val="24"/>
          <w:szCs w:val="24"/>
          <w:lang w:val="hr-HR"/>
        </w:rPr>
        <w:t xml:space="preserve">, potpredsjednica Europske komisije za vrijednosti i transparentnost. Najavila je pokretanje novog obrazovnog alata za škole o Europskoj građanskoj inicijativi. Priručnik je osmišljen za tinejdžere od 16 godina da </w:t>
      </w:r>
      <w:r w:rsidR="00083E1E" w:rsidRPr="00EF1682">
        <w:rPr>
          <w:rStyle w:val="y2iqfc"/>
          <w:rFonts w:ascii="Arial" w:hAnsi="Arial" w:cs="Arial"/>
          <w:color w:val="202124"/>
          <w:sz w:val="24"/>
          <w:szCs w:val="24"/>
          <w:lang w:val="hr-HR"/>
        </w:rPr>
        <w:t xml:space="preserve">kroz </w:t>
      </w:r>
      <w:r w:rsidRPr="00EF1682">
        <w:rPr>
          <w:rStyle w:val="y2iqfc"/>
          <w:rFonts w:ascii="Arial" w:hAnsi="Arial" w:cs="Arial"/>
          <w:color w:val="202124"/>
          <w:sz w:val="24"/>
          <w:szCs w:val="24"/>
          <w:lang w:val="hr-HR"/>
        </w:rPr>
        <w:t>igr</w:t>
      </w:r>
      <w:r w:rsidR="00083E1E" w:rsidRPr="00EF1682">
        <w:rPr>
          <w:rStyle w:val="y2iqfc"/>
          <w:rFonts w:ascii="Arial" w:hAnsi="Arial" w:cs="Arial"/>
          <w:color w:val="202124"/>
          <w:sz w:val="24"/>
          <w:szCs w:val="24"/>
          <w:lang w:val="hr-HR"/>
        </w:rPr>
        <w:t>u</w:t>
      </w:r>
      <w:r w:rsidRPr="00EF1682">
        <w:rPr>
          <w:rStyle w:val="y2iqfc"/>
          <w:rFonts w:ascii="Arial" w:hAnsi="Arial" w:cs="Arial"/>
          <w:color w:val="202124"/>
          <w:sz w:val="24"/>
          <w:szCs w:val="24"/>
          <w:lang w:val="hr-HR"/>
        </w:rPr>
        <w:t xml:space="preserve"> uče o EU-u i samoj europskoj građanskoj inicijativi. Dostupan je na svim jezicima EU-a i bit će objavljen na web stranici EC</w:t>
      </w:r>
      <w:r w:rsidR="00083E1E" w:rsidRPr="00EF1682">
        <w:rPr>
          <w:rStyle w:val="y2iqfc"/>
          <w:rFonts w:ascii="Arial" w:hAnsi="Arial" w:cs="Arial"/>
          <w:color w:val="202124"/>
          <w:sz w:val="24"/>
          <w:szCs w:val="24"/>
          <w:lang w:val="hr-HR"/>
        </w:rPr>
        <w:t>G</w:t>
      </w:r>
      <w:r w:rsidRPr="00EF1682">
        <w:rPr>
          <w:rStyle w:val="y2iqfc"/>
          <w:rFonts w:ascii="Arial" w:hAnsi="Arial" w:cs="Arial"/>
          <w:color w:val="202124"/>
          <w:sz w:val="24"/>
          <w:szCs w:val="24"/>
          <w:lang w:val="hr-HR"/>
        </w:rPr>
        <w:t xml:space="preserve">-a </w:t>
      </w:r>
      <w:proofErr w:type="spellStart"/>
      <w:r w:rsidRPr="00EF1682">
        <w:rPr>
          <w:rStyle w:val="y2iqfc"/>
          <w:rFonts w:ascii="Arial" w:hAnsi="Arial" w:cs="Arial"/>
          <w:color w:val="202124"/>
          <w:sz w:val="24"/>
          <w:szCs w:val="24"/>
          <w:lang w:val="hr-HR"/>
        </w:rPr>
        <w:t>iu</w:t>
      </w:r>
      <w:proofErr w:type="spellEnd"/>
      <w:r w:rsidRPr="00EF1682">
        <w:rPr>
          <w:rStyle w:val="y2iqfc"/>
          <w:rFonts w:ascii="Arial" w:hAnsi="Arial" w:cs="Arial"/>
          <w:color w:val="202124"/>
          <w:sz w:val="24"/>
          <w:szCs w:val="24"/>
          <w:lang w:val="hr-HR"/>
        </w:rPr>
        <w:t xml:space="preserve"> EU </w:t>
      </w:r>
      <w:proofErr w:type="spellStart"/>
      <w:r w:rsidRPr="00EF1682">
        <w:rPr>
          <w:rStyle w:val="y2iqfc"/>
          <w:rFonts w:ascii="Arial" w:hAnsi="Arial" w:cs="Arial"/>
          <w:color w:val="202124"/>
          <w:sz w:val="24"/>
          <w:szCs w:val="24"/>
          <w:lang w:val="hr-HR"/>
        </w:rPr>
        <w:t>Learning</w:t>
      </w:r>
      <w:proofErr w:type="spellEnd"/>
      <w:r w:rsidRPr="00EF1682">
        <w:rPr>
          <w:rStyle w:val="y2iqfc"/>
          <w:rFonts w:ascii="Arial" w:hAnsi="Arial" w:cs="Arial"/>
          <w:color w:val="202124"/>
          <w:sz w:val="24"/>
          <w:szCs w:val="24"/>
          <w:lang w:val="hr-HR"/>
        </w:rPr>
        <w:t xml:space="preserve"> </w:t>
      </w:r>
      <w:proofErr w:type="spellStart"/>
      <w:r w:rsidRPr="00EF1682">
        <w:rPr>
          <w:rStyle w:val="y2iqfc"/>
          <w:rFonts w:ascii="Arial" w:hAnsi="Arial" w:cs="Arial"/>
          <w:color w:val="202124"/>
          <w:sz w:val="24"/>
          <w:szCs w:val="24"/>
          <w:lang w:val="hr-HR"/>
        </w:rPr>
        <w:t>Corner</w:t>
      </w:r>
      <w:proofErr w:type="spellEnd"/>
      <w:r w:rsidRPr="00EF1682">
        <w:rPr>
          <w:rStyle w:val="y2iqfc"/>
          <w:rFonts w:ascii="Arial" w:hAnsi="Arial" w:cs="Arial"/>
          <w:color w:val="202124"/>
          <w:sz w:val="24"/>
          <w:szCs w:val="24"/>
          <w:lang w:val="hr-HR"/>
        </w:rPr>
        <w:t>-u.</w:t>
      </w:r>
    </w:p>
    <w:p w14:paraId="637A8583" w14:textId="36DBF07E" w:rsidR="00B4255B" w:rsidRPr="00EF1682" w:rsidRDefault="00B4255B" w:rsidP="00802F26">
      <w:pPr>
        <w:pStyle w:val="HTMLPreformatted"/>
        <w:spacing w:line="540" w:lineRule="atLeast"/>
        <w:jc w:val="both"/>
        <w:rPr>
          <w:rFonts w:ascii="Arial" w:hAnsi="Arial" w:cs="Arial"/>
          <w:color w:val="202124"/>
          <w:sz w:val="24"/>
          <w:szCs w:val="24"/>
        </w:rPr>
      </w:pPr>
      <w:r w:rsidRPr="00EF1682">
        <w:rPr>
          <w:rStyle w:val="y2iqfc"/>
          <w:rFonts w:ascii="Arial" w:hAnsi="Arial" w:cs="Arial"/>
          <w:color w:val="202124"/>
          <w:sz w:val="24"/>
          <w:szCs w:val="24"/>
          <w:lang w:val="hr-HR"/>
        </w:rPr>
        <w:t xml:space="preserve">U travnju 2023. Europska komisija registrirala je 100. inicijativu koja poziva na uvođenje mreže brzih vlakova u EU. ECI je vrlo važan dio europske demokracije i moramo imati još više alata za participativnu demokraciju. S druge strane, ako pogledate da je samo devet europskih građanskih inicijativa doseglo prag (od milijun potpisa), to definitivno nije dovoljno. </w:t>
      </w:r>
    </w:p>
    <w:p w14:paraId="63BEC401" w14:textId="77777777" w:rsidR="00DD0DF2" w:rsidRPr="00EF1682" w:rsidRDefault="00DD0DF2" w:rsidP="00802F26">
      <w:pPr>
        <w:rPr>
          <w:rFonts w:ascii="Arial" w:hAnsi="Arial" w:cs="Arial"/>
          <w:sz w:val="24"/>
          <w:szCs w:val="24"/>
          <w:lang w:val="en-BE"/>
        </w:rPr>
      </w:pPr>
    </w:p>
    <w:p w14:paraId="1F0F513B" w14:textId="77777777" w:rsidR="00DD0DF2" w:rsidRPr="00EF1682" w:rsidRDefault="00DD0DF2" w:rsidP="00802F26">
      <w:pPr>
        <w:rPr>
          <w:rFonts w:ascii="Arial" w:hAnsi="Arial" w:cs="Arial"/>
          <w:sz w:val="24"/>
          <w:szCs w:val="24"/>
          <w:lang w:val="en-BE"/>
        </w:rPr>
      </w:pPr>
    </w:p>
    <w:p w14:paraId="2FF2C24D" w14:textId="77777777" w:rsidR="00B225F3" w:rsidRPr="00EF1682" w:rsidRDefault="00B225F3">
      <w:pPr>
        <w:rPr>
          <w:rFonts w:ascii="Arial" w:hAnsi="Arial" w:cs="Arial"/>
          <w:sz w:val="24"/>
          <w:szCs w:val="24"/>
        </w:rPr>
      </w:pPr>
    </w:p>
    <w:tbl>
      <w:tblPr>
        <w:tblW w:w="5000" w:type="pct"/>
        <w:jc w:val="center"/>
        <w:tblLook w:val="0000" w:firstRow="0" w:lastRow="0" w:firstColumn="0" w:lastColumn="0" w:noHBand="0" w:noVBand="0"/>
      </w:tblPr>
      <w:tblGrid>
        <w:gridCol w:w="9026"/>
      </w:tblGrid>
      <w:tr w:rsidR="00B225F3" w:rsidRPr="00EF1682" w14:paraId="0EB49667" w14:textId="77777777" w:rsidTr="00401AFE">
        <w:trPr>
          <w:jc w:val="center"/>
        </w:trPr>
        <w:tc>
          <w:tcPr>
            <w:tcW w:w="5000" w:type="pct"/>
          </w:tcPr>
          <w:p w14:paraId="6D8CE4F9" w14:textId="6534D2F8" w:rsidR="00B225F3" w:rsidRPr="005C2C04" w:rsidRDefault="00B225F3" w:rsidP="00401AFE">
            <w:pPr>
              <w:jc w:val="center"/>
              <w:rPr>
                <w:rFonts w:ascii="Arial" w:hAnsi="Arial" w:cs="Arial"/>
                <w:b/>
                <w:sz w:val="24"/>
                <w:szCs w:val="24"/>
                <w:u w:val="single"/>
              </w:rPr>
            </w:pPr>
            <w:r w:rsidRPr="005C2C04">
              <w:rPr>
                <w:rFonts w:ascii="Arial" w:hAnsi="Arial" w:cs="Arial"/>
                <w:b/>
                <w:sz w:val="24"/>
                <w:szCs w:val="24"/>
                <w:u w:val="single"/>
              </w:rPr>
              <w:t>579. PLENARNO ZASJEDANJE</w:t>
            </w:r>
          </w:p>
          <w:p w14:paraId="169C8C07" w14:textId="59DB5827" w:rsidR="00B225F3" w:rsidRPr="00EF1682" w:rsidRDefault="00B225F3" w:rsidP="005C2C04">
            <w:pPr>
              <w:jc w:val="center"/>
              <w:rPr>
                <w:rFonts w:ascii="Arial" w:hAnsi="Arial" w:cs="Arial"/>
                <w:b/>
                <w:sz w:val="24"/>
                <w:szCs w:val="24"/>
              </w:rPr>
            </w:pPr>
            <w:r w:rsidRPr="005C2C04">
              <w:rPr>
                <w:rFonts w:ascii="Arial" w:hAnsi="Arial" w:cs="Arial"/>
                <w:b/>
                <w:sz w:val="24"/>
                <w:szCs w:val="24"/>
                <w:u w:val="single"/>
              </w:rPr>
              <w:t xml:space="preserve">14. i 15. </w:t>
            </w:r>
            <w:proofErr w:type="spellStart"/>
            <w:r w:rsidRPr="005C2C04">
              <w:rPr>
                <w:rFonts w:ascii="Arial" w:hAnsi="Arial" w:cs="Arial"/>
                <w:b/>
                <w:sz w:val="24"/>
                <w:szCs w:val="24"/>
                <w:u w:val="single"/>
              </w:rPr>
              <w:t>ipanj</w:t>
            </w:r>
            <w:proofErr w:type="spellEnd"/>
            <w:r w:rsidRPr="005C2C04">
              <w:rPr>
                <w:rFonts w:ascii="Arial" w:hAnsi="Arial" w:cs="Arial"/>
                <w:b/>
                <w:sz w:val="24"/>
                <w:szCs w:val="24"/>
                <w:u w:val="single"/>
              </w:rPr>
              <w:t xml:space="preserve"> 2023.</w:t>
            </w:r>
          </w:p>
        </w:tc>
      </w:tr>
    </w:tbl>
    <w:p w14:paraId="6151633D" w14:textId="77777777" w:rsidR="00B225F3" w:rsidRPr="00EF1682" w:rsidRDefault="00B225F3" w:rsidP="00B225F3">
      <w:pPr>
        <w:rPr>
          <w:rFonts w:ascii="Arial" w:hAnsi="Arial" w:cs="Arial"/>
          <w:b/>
          <w:sz w:val="24"/>
          <w:szCs w:val="24"/>
          <w:lang w:val="en-GB"/>
        </w:rPr>
      </w:pPr>
    </w:p>
    <w:p w14:paraId="0A5906E9" w14:textId="77777777" w:rsidR="00B225F3" w:rsidRPr="00EF1682" w:rsidRDefault="00B225F3" w:rsidP="00B225F3">
      <w:pPr>
        <w:jc w:val="center"/>
        <w:rPr>
          <w:rFonts w:ascii="Arial" w:hAnsi="Arial" w:cs="Arial"/>
          <w:b/>
          <w:sz w:val="24"/>
          <w:szCs w:val="24"/>
        </w:rPr>
      </w:pPr>
      <w:r w:rsidRPr="00EF1682">
        <w:rPr>
          <w:rFonts w:ascii="Arial" w:hAnsi="Arial" w:cs="Arial"/>
          <w:b/>
          <w:sz w:val="24"/>
          <w:szCs w:val="24"/>
        </w:rPr>
        <w:t>RASPRAVE</w:t>
      </w:r>
    </w:p>
    <w:p w14:paraId="146AD3C4" w14:textId="77777777" w:rsidR="00B225F3" w:rsidRPr="00EF1682" w:rsidRDefault="00B225F3" w:rsidP="00B225F3">
      <w:pPr>
        <w:jc w:val="center"/>
        <w:rPr>
          <w:rFonts w:ascii="Arial" w:hAnsi="Arial" w:cs="Arial"/>
          <w:sz w:val="24"/>
          <w:szCs w:val="24"/>
          <w:lang w:val="en-GB"/>
        </w:rPr>
      </w:pPr>
    </w:p>
    <w:tbl>
      <w:tblPr>
        <w:tblStyle w:val="TableGrid"/>
        <w:tblW w:w="9209" w:type="dxa"/>
        <w:tblLook w:val="04A0" w:firstRow="1" w:lastRow="0" w:firstColumn="1" w:lastColumn="0" w:noHBand="0" w:noVBand="1"/>
      </w:tblPr>
      <w:tblGrid>
        <w:gridCol w:w="9209"/>
      </w:tblGrid>
      <w:tr w:rsidR="00B225F3" w:rsidRPr="00EF1682" w14:paraId="0C90E511" w14:textId="77777777" w:rsidTr="00401AFE">
        <w:tc>
          <w:tcPr>
            <w:tcW w:w="9209" w:type="dxa"/>
          </w:tcPr>
          <w:p w14:paraId="614AC5BE" w14:textId="77777777" w:rsidR="00B225F3" w:rsidRPr="00EF1682" w:rsidRDefault="00B225F3" w:rsidP="00401AFE">
            <w:pPr>
              <w:rPr>
                <w:rFonts w:ascii="Arial" w:hAnsi="Arial" w:cs="Arial"/>
                <w:sz w:val="24"/>
                <w:szCs w:val="24"/>
              </w:rPr>
            </w:pPr>
            <w:r w:rsidRPr="00EF1682">
              <w:rPr>
                <w:rFonts w:ascii="Arial" w:hAnsi="Arial" w:cs="Arial"/>
                <w:b/>
                <w:bCs/>
                <w:sz w:val="24"/>
                <w:szCs w:val="24"/>
              </w:rPr>
              <w:t xml:space="preserve">Reforma tržišta električne energije </w:t>
            </w:r>
            <w:r w:rsidRPr="00EF1682">
              <w:rPr>
                <w:rFonts w:ascii="Arial" w:hAnsi="Arial" w:cs="Arial"/>
                <w:sz w:val="24"/>
                <w:szCs w:val="24"/>
              </w:rPr>
              <w:t>povezana s usvajanjem mišljenja TEN/808 „Veleprodajno tržište energije EU-a” i mišljenja TEN/793 „Reforma tržišta električne energije”, sudjeluju</w:t>
            </w:r>
            <w:r w:rsidRPr="00EF1682">
              <w:rPr>
                <w:rFonts w:ascii="Arial" w:hAnsi="Arial" w:cs="Arial"/>
                <w:b/>
                <w:bCs/>
                <w:sz w:val="24"/>
                <w:szCs w:val="24"/>
              </w:rPr>
              <w:t xml:space="preserve"> </w:t>
            </w:r>
            <w:proofErr w:type="spellStart"/>
            <w:r w:rsidRPr="00EF1682">
              <w:rPr>
                <w:rFonts w:ascii="Arial" w:hAnsi="Arial" w:cs="Arial"/>
                <w:b/>
                <w:bCs/>
                <w:sz w:val="24"/>
                <w:szCs w:val="24"/>
              </w:rPr>
              <w:t>Bram</w:t>
            </w:r>
            <w:proofErr w:type="spellEnd"/>
            <w:r w:rsidRPr="00EF1682">
              <w:rPr>
                <w:rFonts w:ascii="Arial" w:hAnsi="Arial" w:cs="Arial"/>
                <w:b/>
                <w:bCs/>
                <w:sz w:val="24"/>
                <w:szCs w:val="24"/>
              </w:rPr>
              <w:t xml:space="preserve"> DE WISPELAERE</w:t>
            </w:r>
            <w:r w:rsidRPr="00EF1682">
              <w:rPr>
                <w:rFonts w:ascii="Arial" w:hAnsi="Arial" w:cs="Arial"/>
                <w:sz w:val="24"/>
                <w:szCs w:val="24"/>
              </w:rPr>
              <w:t xml:space="preserve">, zamjenik šefa kabineta nadležan za tržišta, belgijsko Ministarstvo za energetiku, i </w:t>
            </w:r>
            <w:r w:rsidRPr="00EF1682">
              <w:rPr>
                <w:rFonts w:ascii="Arial" w:hAnsi="Arial" w:cs="Arial"/>
                <w:b/>
                <w:bCs/>
                <w:sz w:val="24"/>
                <w:szCs w:val="24"/>
              </w:rPr>
              <w:t>Pedro LINARES</w:t>
            </w:r>
            <w:r w:rsidRPr="00EF1682">
              <w:rPr>
                <w:rFonts w:ascii="Arial" w:hAnsi="Arial" w:cs="Arial"/>
                <w:sz w:val="24"/>
                <w:szCs w:val="24"/>
              </w:rPr>
              <w:t xml:space="preserve">, profesor na Visokoj tehničkoj školi za inženjerstvo (ICAI) u Madridu, </w:t>
            </w:r>
            <w:r w:rsidRPr="00EF1682">
              <w:rPr>
                <w:rFonts w:ascii="Arial" w:hAnsi="Arial" w:cs="Arial"/>
                <w:b/>
                <w:bCs/>
                <w:sz w:val="24"/>
                <w:szCs w:val="24"/>
              </w:rPr>
              <w:t>srijeda</w:t>
            </w:r>
            <w:r w:rsidRPr="00EF1682">
              <w:rPr>
                <w:rFonts w:ascii="Arial" w:hAnsi="Arial" w:cs="Arial"/>
                <w:sz w:val="24"/>
                <w:szCs w:val="24"/>
              </w:rPr>
              <w:t xml:space="preserve">, </w:t>
            </w:r>
            <w:r w:rsidRPr="00EF1682">
              <w:rPr>
                <w:rFonts w:ascii="Arial" w:hAnsi="Arial" w:cs="Arial"/>
                <w:b/>
                <w:bCs/>
                <w:sz w:val="24"/>
                <w:szCs w:val="24"/>
              </w:rPr>
              <w:t>14. lipnja</w:t>
            </w:r>
            <w:r w:rsidRPr="00EF1682">
              <w:rPr>
                <w:rFonts w:ascii="Arial" w:hAnsi="Arial" w:cs="Arial"/>
                <w:sz w:val="24"/>
                <w:szCs w:val="24"/>
              </w:rPr>
              <w:t>, u 15:00 sati (još nije potvrđeno)</w:t>
            </w:r>
          </w:p>
        </w:tc>
      </w:tr>
    </w:tbl>
    <w:p w14:paraId="2DB064E4" w14:textId="77777777" w:rsidR="00B225F3" w:rsidRPr="00EF1682" w:rsidRDefault="00B225F3" w:rsidP="00B225F3">
      <w:pPr>
        <w:jc w:val="center"/>
        <w:rPr>
          <w:rFonts w:ascii="Arial" w:hAnsi="Arial" w:cs="Arial"/>
          <w:sz w:val="24"/>
          <w:szCs w:val="24"/>
          <w:lang w:val="en-GB"/>
        </w:rPr>
      </w:pPr>
    </w:p>
    <w:p w14:paraId="631B3CA4" w14:textId="77777777" w:rsidR="00B225F3" w:rsidRPr="00EF1682" w:rsidRDefault="00B225F3" w:rsidP="00B225F3">
      <w:pPr>
        <w:jc w:val="center"/>
        <w:rPr>
          <w:rFonts w:ascii="Arial" w:hAnsi="Arial" w:cs="Arial"/>
          <w:sz w:val="24"/>
          <w:szCs w:val="24"/>
          <w:lang w:val="en-GB"/>
        </w:rPr>
      </w:pPr>
    </w:p>
    <w:tbl>
      <w:tblPr>
        <w:tblStyle w:val="TableGrid"/>
        <w:tblW w:w="9209" w:type="dxa"/>
        <w:tblLook w:val="04A0" w:firstRow="1" w:lastRow="0" w:firstColumn="1" w:lastColumn="0" w:noHBand="0" w:noVBand="1"/>
      </w:tblPr>
      <w:tblGrid>
        <w:gridCol w:w="9209"/>
      </w:tblGrid>
      <w:tr w:rsidR="00B225F3" w:rsidRPr="00EF1682" w14:paraId="3A79B707" w14:textId="77777777" w:rsidTr="00401AFE">
        <w:tc>
          <w:tcPr>
            <w:tcW w:w="9209" w:type="dxa"/>
          </w:tcPr>
          <w:p w14:paraId="26F25A2A" w14:textId="77777777" w:rsidR="00B225F3" w:rsidRPr="00EF1682" w:rsidRDefault="00B225F3" w:rsidP="00401AFE">
            <w:pPr>
              <w:rPr>
                <w:rFonts w:ascii="Arial" w:hAnsi="Arial" w:cs="Arial"/>
                <w:sz w:val="24"/>
                <w:szCs w:val="24"/>
              </w:rPr>
            </w:pPr>
            <w:r w:rsidRPr="00EF1682">
              <w:rPr>
                <w:rFonts w:ascii="Arial" w:hAnsi="Arial" w:cs="Arial"/>
                <w:b/>
                <w:sz w:val="24"/>
                <w:szCs w:val="24"/>
              </w:rPr>
              <w:t>Rasprava</w:t>
            </w:r>
            <w:r w:rsidRPr="00EF1682">
              <w:rPr>
                <w:rFonts w:ascii="Arial" w:hAnsi="Arial" w:cs="Arial"/>
                <w:sz w:val="24"/>
                <w:szCs w:val="24"/>
              </w:rPr>
              <w:t xml:space="preserve"> povezana s usvajanjem mišljenja SOC/759 „Suradnja u području mladih” i mišljenja SOC/721 „Jednako postupanje prema mladima na tržištu rada”, sudjeluju </w:t>
            </w:r>
            <w:r w:rsidRPr="00EF1682">
              <w:rPr>
                <w:rFonts w:ascii="Arial" w:hAnsi="Arial" w:cs="Arial"/>
                <w:b/>
                <w:bCs/>
                <w:sz w:val="24"/>
                <w:szCs w:val="24"/>
              </w:rPr>
              <w:t>María Rodriguez,</w:t>
            </w:r>
            <w:r w:rsidRPr="00EF1682">
              <w:rPr>
                <w:rFonts w:ascii="Arial" w:hAnsi="Arial" w:cs="Arial"/>
                <w:sz w:val="24"/>
                <w:szCs w:val="24"/>
              </w:rPr>
              <w:t xml:space="preserve"> predsjednica Europskog foruma mladih, </w:t>
            </w:r>
            <w:r w:rsidRPr="00EF1682">
              <w:rPr>
                <w:rFonts w:ascii="Arial" w:hAnsi="Arial" w:cs="Arial"/>
                <w:b/>
                <w:bCs/>
                <w:sz w:val="24"/>
                <w:szCs w:val="24"/>
              </w:rPr>
              <w:t xml:space="preserve">Agata </w:t>
            </w:r>
            <w:proofErr w:type="spellStart"/>
            <w:r w:rsidRPr="00EF1682">
              <w:rPr>
                <w:rFonts w:ascii="Arial" w:hAnsi="Arial" w:cs="Arial"/>
                <w:b/>
                <w:bCs/>
                <w:sz w:val="24"/>
                <w:szCs w:val="24"/>
              </w:rPr>
              <w:t>Meysner</w:t>
            </w:r>
            <w:proofErr w:type="spellEnd"/>
            <w:r w:rsidRPr="00EF1682">
              <w:rPr>
                <w:rFonts w:ascii="Arial" w:hAnsi="Arial" w:cs="Arial"/>
                <w:sz w:val="24"/>
                <w:szCs w:val="24"/>
              </w:rPr>
              <w:t xml:space="preserve">, predsjednica organizacije </w:t>
            </w:r>
            <w:proofErr w:type="spellStart"/>
            <w:r w:rsidRPr="00EF1682">
              <w:rPr>
                <w:rFonts w:ascii="Arial" w:hAnsi="Arial" w:cs="Arial"/>
                <w:sz w:val="24"/>
                <w:szCs w:val="24"/>
              </w:rPr>
              <w:t>Generation</w:t>
            </w:r>
            <w:proofErr w:type="spellEnd"/>
            <w:r w:rsidRPr="00EF1682">
              <w:rPr>
                <w:rFonts w:ascii="Arial" w:hAnsi="Arial" w:cs="Arial"/>
                <w:sz w:val="24"/>
                <w:szCs w:val="24"/>
              </w:rPr>
              <w:t xml:space="preserve"> </w:t>
            </w:r>
            <w:proofErr w:type="spellStart"/>
            <w:r w:rsidRPr="00EF1682">
              <w:rPr>
                <w:rFonts w:ascii="Arial" w:hAnsi="Arial" w:cs="Arial"/>
                <w:sz w:val="24"/>
                <w:szCs w:val="24"/>
              </w:rPr>
              <w:t>Climate</w:t>
            </w:r>
            <w:proofErr w:type="spellEnd"/>
            <w:r w:rsidRPr="00EF1682">
              <w:rPr>
                <w:rFonts w:ascii="Arial" w:hAnsi="Arial" w:cs="Arial"/>
                <w:sz w:val="24"/>
                <w:szCs w:val="24"/>
              </w:rPr>
              <w:t xml:space="preserve"> Europe i </w:t>
            </w:r>
            <w:proofErr w:type="spellStart"/>
            <w:r w:rsidRPr="00EF1682">
              <w:rPr>
                <w:rFonts w:ascii="Arial" w:hAnsi="Arial" w:cs="Arial"/>
                <w:b/>
                <w:bCs/>
                <w:sz w:val="24"/>
                <w:szCs w:val="24"/>
              </w:rPr>
              <w:t>Mireia</w:t>
            </w:r>
            <w:proofErr w:type="spellEnd"/>
            <w:r w:rsidRPr="00EF1682">
              <w:rPr>
                <w:rFonts w:ascii="Arial" w:hAnsi="Arial" w:cs="Arial"/>
                <w:b/>
                <w:bCs/>
                <w:sz w:val="24"/>
                <w:szCs w:val="24"/>
              </w:rPr>
              <w:t xml:space="preserve"> </w:t>
            </w:r>
            <w:proofErr w:type="spellStart"/>
            <w:r w:rsidRPr="00EF1682">
              <w:rPr>
                <w:rFonts w:ascii="Arial" w:hAnsi="Arial" w:cs="Arial"/>
                <w:b/>
                <w:bCs/>
                <w:sz w:val="24"/>
                <w:szCs w:val="24"/>
              </w:rPr>
              <w:t>Nadal</w:t>
            </w:r>
            <w:proofErr w:type="spellEnd"/>
            <w:r w:rsidRPr="00EF1682">
              <w:rPr>
                <w:rFonts w:ascii="Arial" w:hAnsi="Arial" w:cs="Arial"/>
                <w:b/>
                <w:bCs/>
                <w:sz w:val="24"/>
                <w:szCs w:val="24"/>
              </w:rPr>
              <w:t xml:space="preserve"> </w:t>
            </w:r>
            <w:proofErr w:type="spellStart"/>
            <w:r w:rsidRPr="00EF1682">
              <w:rPr>
                <w:rFonts w:ascii="Arial" w:hAnsi="Arial" w:cs="Arial"/>
                <w:b/>
                <w:bCs/>
                <w:sz w:val="24"/>
                <w:szCs w:val="24"/>
              </w:rPr>
              <w:t>Chiva</w:t>
            </w:r>
            <w:proofErr w:type="spellEnd"/>
            <w:r w:rsidRPr="00EF1682">
              <w:rPr>
                <w:rFonts w:ascii="Arial" w:hAnsi="Arial" w:cs="Arial"/>
                <w:sz w:val="24"/>
                <w:szCs w:val="24"/>
              </w:rPr>
              <w:t xml:space="preserve">, glavna voditeljica poslovanja, </w:t>
            </w:r>
            <w:proofErr w:type="spellStart"/>
            <w:r w:rsidRPr="00EF1682">
              <w:rPr>
                <w:rFonts w:ascii="Arial" w:hAnsi="Arial" w:cs="Arial"/>
                <w:sz w:val="24"/>
                <w:szCs w:val="24"/>
              </w:rPr>
              <w:t>ReDI</w:t>
            </w:r>
            <w:proofErr w:type="spellEnd"/>
            <w:r w:rsidRPr="00EF1682">
              <w:rPr>
                <w:rFonts w:ascii="Arial" w:hAnsi="Arial" w:cs="Arial"/>
                <w:sz w:val="24"/>
                <w:szCs w:val="24"/>
              </w:rPr>
              <w:t xml:space="preserve"> </w:t>
            </w:r>
            <w:proofErr w:type="spellStart"/>
            <w:r w:rsidRPr="00EF1682">
              <w:rPr>
                <w:rFonts w:ascii="Arial" w:hAnsi="Arial" w:cs="Arial"/>
                <w:sz w:val="24"/>
                <w:szCs w:val="24"/>
              </w:rPr>
              <w:t>School</w:t>
            </w:r>
            <w:proofErr w:type="spellEnd"/>
            <w:r w:rsidRPr="00EF1682">
              <w:rPr>
                <w:rFonts w:ascii="Arial" w:hAnsi="Arial" w:cs="Arial"/>
                <w:sz w:val="24"/>
                <w:szCs w:val="24"/>
              </w:rPr>
              <w:t xml:space="preserve"> </w:t>
            </w:r>
            <w:proofErr w:type="spellStart"/>
            <w:r w:rsidRPr="00EF1682">
              <w:rPr>
                <w:rFonts w:ascii="Arial" w:hAnsi="Arial" w:cs="Arial"/>
                <w:sz w:val="24"/>
                <w:szCs w:val="24"/>
              </w:rPr>
              <w:t>of</w:t>
            </w:r>
            <w:proofErr w:type="spellEnd"/>
            <w:r w:rsidRPr="00EF1682">
              <w:rPr>
                <w:rFonts w:ascii="Arial" w:hAnsi="Arial" w:cs="Arial"/>
                <w:sz w:val="24"/>
                <w:szCs w:val="24"/>
              </w:rPr>
              <w:t xml:space="preserve"> Digital </w:t>
            </w:r>
            <w:proofErr w:type="spellStart"/>
            <w:r w:rsidRPr="00EF1682">
              <w:rPr>
                <w:rFonts w:ascii="Arial" w:hAnsi="Arial" w:cs="Arial"/>
                <w:sz w:val="24"/>
                <w:szCs w:val="24"/>
              </w:rPr>
              <w:t>Integration</w:t>
            </w:r>
            <w:proofErr w:type="spellEnd"/>
            <w:r w:rsidRPr="00EF1682">
              <w:rPr>
                <w:rFonts w:ascii="Arial" w:hAnsi="Arial" w:cs="Arial"/>
                <w:sz w:val="24"/>
                <w:szCs w:val="24"/>
              </w:rPr>
              <w:t xml:space="preserve"> / </w:t>
            </w:r>
            <w:proofErr w:type="spellStart"/>
            <w:r w:rsidRPr="00EF1682">
              <w:rPr>
                <w:rFonts w:ascii="Arial" w:hAnsi="Arial" w:cs="Arial"/>
                <w:sz w:val="24"/>
                <w:szCs w:val="24"/>
              </w:rPr>
              <w:t>friends</w:t>
            </w:r>
            <w:proofErr w:type="spellEnd"/>
            <w:r w:rsidRPr="00EF1682">
              <w:rPr>
                <w:rFonts w:ascii="Arial" w:hAnsi="Arial" w:cs="Arial"/>
                <w:sz w:val="24"/>
                <w:szCs w:val="24"/>
              </w:rPr>
              <w:t xml:space="preserve"> </w:t>
            </w:r>
            <w:proofErr w:type="spellStart"/>
            <w:r w:rsidRPr="00EF1682">
              <w:rPr>
                <w:rFonts w:ascii="Arial" w:hAnsi="Arial" w:cs="Arial"/>
                <w:sz w:val="24"/>
                <w:szCs w:val="24"/>
              </w:rPr>
              <w:t>of</w:t>
            </w:r>
            <w:proofErr w:type="spellEnd"/>
            <w:r w:rsidRPr="00EF1682">
              <w:rPr>
                <w:rFonts w:ascii="Arial" w:hAnsi="Arial" w:cs="Arial"/>
                <w:sz w:val="24"/>
                <w:szCs w:val="24"/>
              </w:rPr>
              <w:t xml:space="preserve"> Europe – </w:t>
            </w:r>
            <w:r w:rsidRPr="00EF1682">
              <w:rPr>
                <w:rFonts w:ascii="Arial" w:hAnsi="Arial" w:cs="Arial"/>
                <w:b/>
                <w:bCs/>
                <w:sz w:val="24"/>
                <w:szCs w:val="24"/>
              </w:rPr>
              <w:t>četvrtak, 15. lipnja</w:t>
            </w:r>
            <w:r w:rsidRPr="00EF1682">
              <w:rPr>
                <w:rFonts w:ascii="Arial" w:hAnsi="Arial" w:cs="Arial"/>
                <w:sz w:val="24"/>
                <w:szCs w:val="24"/>
              </w:rPr>
              <w:t xml:space="preserve"> u 10 sati</w:t>
            </w:r>
          </w:p>
        </w:tc>
      </w:tr>
    </w:tbl>
    <w:p w14:paraId="6A6F631A" w14:textId="77777777" w:rsidR="00B225F3" w:rsidRPr="00EF1682" w:rsidRDefault="00B225F3" w:rsidP="00B225F3">
      <w:pPr>
        <w:jc w:val="center"/>
        <w:rPr>
          <w:rFonts w:ascii="Arial" w:hAnsi="Arial" w:cs="Arial"/>
          <w:sz w:val="24"/>
          <w:szCs w:val="24"/>
          <w:lang w:val="en-GB"/>
        </w:rPr>
      </w:pPr>
    </w:p>
    <w:p w14:paraId="6302E8F9" w14:textId="77777777" w:rsidR="00B225F3" w:rsidRPr="00EF1682" w:rsidRDefault="00B225F3" w:rsidP="00B22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000000" w:themeColor="text1"/>
          <w:sz w:val="24"/>
          <w:szCs w:val="24"/>
        </w:rPr>
      </w:pPr>
      <w:r w:rsidRPr="00EF1682">
        <w:rPr>
          <w:rFonts w:ascii="Arial" w:hAnsi="Arial" w:cs="Arial"/>
          <w:b/>
          <w:color w:val="000000" w:themeColor="text1"/>
          <w:sz w:val="24"/>
          <w:szCs w:val="24"/>
          <w:u w:val="single"/>
        </w:rPr>
        <w:t>Ključne točke izdvojenih usvojenih mišljenja</w:t>
      </w:r>
      <w:r w:rsidRPr="00EF1682">
        <w:rPr>
          <w:rFonts w:ascii="Arial" w:hAnsi="Arial" w:cs="Arial"/>
          <w:color w:val="000000" w:themeColor="text1"/>
          <w:sz w:val="24"/>
          <w:szCs w:val="24"/>
        </w:rPr>
        <w:t xml:space="preserve"> </w:t>
      </w:r>
    </w:p>
    <w:p w14:paraId="4E39DB4C" w14:textId="3D089045" w:rsidR="00B225F3" w:rsidRPr="00EF1682" w:rsidRDefault="00B225F3" w:rsidP="00AE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sz w:val="24"/>
          <w:szCs w:val="24"/>
        </w:rPr>
      </w:pPr>
      <w:r w:rsidRPr="00EF1682">
        <w:rPr>
          <w:rFonts w:ascii="Arial" w:hAnsi="Arial" w:cs="Arial"/>
          <w:sz w:val="24"/>
          <w:szCs w:val="24"/>
        </w:rPr>
        <w:t xml:space="preserve">Poveznica na sva usvojena mišljenja: </w:t>
      </w:r>
      <w:hyperlink r:id="rId10" w:history="1">
        <w:r w:rsidR="00AE792A" w:rsidRPr="00EF1682">
          <w:rPr>
            <w:rStyle w:val="Hyperlink"/>
            <w:rFonts w:ascii="Arial" w:hAnsi="Arial" w:cs="Arial"/>
            <w:sz w:val="24"/>
            <w:szCs w:val="24"/>
          </w:rPr>
          <w:t>mišljenja plenarno zasjedanje lipanj 2023</w:t>
        </w:r>
      </w:hyperlink>
    </w:p>
    <w:p w14:paraId="0DA6C056" w14:textId="77777777" w:rsidR="00AE792A" w:rsidRPr="00EF1682" w:rsidRDefault="00AE792A" w:rsidP="00AE7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sz w:val="24"/>
          <w:szCs w:val="24"/>
        </w:rPr>
      </w:pPr>
    </w:p>
    <w:p w14:paraId="12149AF6" w14:textId="7B5D5251" w:rsidR="000F251E" w:rsidRDefault="005C2C04" w:rsidP="005C2C04">
      <w:pPr>
        <w:widowControl w:val="0"/>
        <w:overflowPunct w:val="0"/>
        <w:autoSpaceDE w:val="0"/>
        <w:autoSpaceDN w:val="0"/>
        <w:adjustRightInd w:val="0"/>
        <w:ind w:left="567"/>
        <w:textAlignment w:val="baseline"/>
        <w:rPr>
          <w:rFonts w:ascii="Arial" w:hAnsi="Arial" w:cs="Arial"/>
          <w:b/>
          <w:i/>
          <w:iCs/>
          <w:color w:val="000000" w:themeColor="text1"/>
          <w:sz w:val="24"/>
          <w:szCs w:val="24"/>
        </w:rPr>
      </w:pPr>
      <w:r w:rsidRPr="005C2C04">
        <w:rPr>
          <w:rFonts w:ascii="Arial" w:hAnsi="Arial" w:cs="Arial"/>
          <w:b/>
          <w:bCs/>
          <w:i/>
          <w:iCs/>
          <w:color w:val="000000" w:themeColor="text1"/>
          <w:sz w:val="24"/>
          <w:szCs w:val="24"/>
        </w:rPr>
        <w:t>TEN</w:t>
      </w:r>
      <w:r>
        <w:rPr>
          <w:rFonts w:ascii="Arial" w:hAnsi="Arial" w:cs="Arial"/>
          <w:b/>
          <w:bCs/>
          <w:i/>
          <w:iCs/>
          <w:color w:val="000000" w:themeColor="text1"/>
          <w:sz w:val="24"/>
          <w:szCs w:val="24"/>
        </w:rPr>
        <w:t>/</w:t>
      </w:r>
      <w:r w:rsidRPr="005C2C04">
        <w:rPr>
          <w:rFonts w:ascii="Arial" w:hAnsi="Arial" w:cs="Arial"/>
          <w:b/>
          <w:bCs/>
          <w:i/>
          <w:iCs/>
          <w:color w:val="000000" w:themeColor="text1"/>
          <w:sz w:val="24"/>
          <w:szCs w:val="24"/>
        </w:rPr>
        <w:t xml:space="preserve">800 </w:t>
      </w:r>
      <w:r>
        <w:rPr>
          <w:rFonts w:ascii="Arial" w:hAnsi="Arial" w:cs="Arial"/>
          <w:b/>
          <w:bCs/>
          <w:i/>
          <w:iCs/>
          <w:color w:val="000000" w:themeColor="text1"/>
          <w:sz w:val="24"/>
          <w:szCs w:val="24"/>
        </w:rPr>
        <w:t xml:space="preserve">- </w:t>
      </w:r>
      <w:r w:rsidR="00540990" w:rsidRPr="005C2C04">
        <w:rPr>
          <w:rFonts w:ascii="Arial" w:hAnsi="Arial" w:cs="Arial"/>
          <w:b/>
          <w:bCs/>
          <w:i/>
          <w:iCs/>
          <w:color w:val="000000" w:themeColor="text1"/>
          <w:sz w:val="24"/>
          <w:szCs w:val="24"/>
        </w:rPr>
        <w:t>Utjecaj</w:t>
      </w:r>
      <w:r w:rsidR="00540990" w:rsidRPr="00EF1682">
        <w:rPr>
          <w:rFonts w:ascii="Arial" w:hAnsi="Arial" w:cs="Arial"/>
          <w:b/>
          <w:i/>
          <w:iCs/>
          <w:color w:val="000000" w:themeColor="text1"/>
          <w:sz w:val="24"/>
          <w:szCs w:val="24"/>
        </w:rPr>
        <w:t xml:space="preserve"> energetske krize na europsko gospodarstvo</w:t>
      </w:r>
    </w:p>
    <w:p w14:paraId="500FCCC8" w14:textId="77777777" w:rsidR="005C2C04" w:rsidRPr="00EF1682" w:rsidRDefault="005C2C04" w:rsidP="005C2C04">
      <w:pPr>
        <w:widowControl w:val="0"/>
        <w:overflowPunct w:val="0"/>
        <w:autoSpaceDE w:val="0"/>
        <w:autoSpaceDN w:val="0"/>
        <w:adjustRightInd w:val="0"/>
        <w:ind w:left="567"/>
        <w:textAlignment w:val="baseline"/>
        <w:rPr>
          <w:rFonts w:ascii="Arial" w:hAnsi="Arial" w:cs="Arial"/>
          <w:i/>
          <w:iCs/>
          <w:color w:val="000000" w:themeColor="text1"/>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38"/>
      </w:tblGrid>
      <w:tr w:rsidR="000F251E" w:rsidRPr="00EF1682" w14:paraId="5C257F56" w14:textId="77777777" w:rsidTr="00401AFE">
        <w:tc>
          <w:tcPr>
            <w:tcW w:w="2235" w:type="dxa"/>
          </w:tcPr>
          <w:p w14:paraId="3B8978A7" w14:textId="77777777" w:rsidR="000F251E" w:rsidRPr="00EF1682" w:rsidRDefault="000F251E" w:rsidP="00401AFE">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 xml:space="preserve">: </w:t>
            </w:r>
          </w:p>
        </w:tc>
        <w:tc>
          <w:tcPr>
            <w:tcW w:w="6838" w:type="dxa"/>
          </w:tcPr>
          <w:p w14:paraId="23E67BBB" w14:textId="77777777" w:rsidR="000F251E" w:rsidRPr="00EF1682" w:rsidRDefault="000F251E" w:rsidP="00401AFE">
            <w:pPr>
              <w:tabs>
                <w:tab w:val="center" w:pos="284"/>
              </w:tabs>
              <w:ind w:left="266" w:hanging="266"/>
              <w:rPr>
                <w:rFonts w:ascii="Arial" w:hAnsi="Arial" w:cs="Arial"/>
                <w:sz w:val="24"/>
                <w:szCs w:val="24"/>
              </w:rPr>
            </w:pPr>
            <w:r w:rsidRPr="00EF1682">
              <w:rPr>
                <w:rFonts w:ascii="Arial" w:hAnsi="Arial" w:cs="Arial"/>
                <w:sz w:val="24"/>
                <w:szCs w:val="24"/>
              </w:rPr>
              <w:t>Alena MASTANTUONO (Skupina poslodavaca – GR I/Češka)</w:t>
            </w:r>
          </w:p>
        </w:tc>
      </w:tr>
      <w:tr w:rsidR="000F251E" w:rsidRPr="00EF1682" w14:paraId="10CA9EDD" w14:textId="77777777" w:rsidTr="00401AFE">
        <w:tc>
          <w:tcPr>
            <w:tcW w:w="9073" w:type="dxa"/>
            <w:gridSpan w:val="2"/>
          </w:tcPr>
          <w:p w14:paraId="2592EE3F" w14:textId="77777777" w:rsidR="000F251E" w:rsidRPr="00EF1682" w:rsidRDefault="000F251E" w:rsidP="000F251E">
            <w:pPr>
              <w:tabs>
                <w:tab w:val="center" w:pos="284"/>
              </w:tabs>
              <w:spacing w:line="160" w:lineRule="exact"/>
              <w:rPr>
                <w:rFonts w:ascii="Arial" w:hAnsi="Arial" w:cs="Arial"/>
                <w:sz w:val="24"/>
                <w:szCs w:val="24"/>
                <w:lang w:val="en-US"/>
              </w:rPr>
            </w:pPr>
          </w:p>
        </w:tc>
      </w:tr>
      <w:tr w:rsidR="000F251E" w:rsidRPr="00EF1682" w14:paraId="19AA39C4" w14:textId="77777777" w:rsidTr="00401AFE">
        <w:tc>
          <w:tcPr>
            <w:tcW w:w="2235" w:type="dxa"/>
            <w:vMerge w:val="restart"/>
          </w:tcPr>
          <w:p w14:paraId="483D2BB3" w14:textId="77777777" w:rsidR="000F251E" w:rsidRPr="00EF1682" w:rsidRDefault="000F251E" w:rsidP="00401AFE">
            <w:pPr>
              <w:tabs>
                <w:tab w:val="center" w:pos="284"/>
              </w:tabs>
              <w:ind w:left="266" w:hanging="266"/>
              <w:rPr>
                <w:rFonts w:ascii="Arial" w:hAnsi="Arial" w:cs="Arial"/>
                <w:b/>
                <w:sz w:val="24"/>
                <w:szCs w:val="24"/>
              </w:rPr>
            </w:pPr>
            <w:r w:rsidRPr="00EF1682">
              <w:rPr>
                <w:rFonts w:ascii="Arial" w:hAnsi="Arial" w:cs="Arial"/>
                <w:b/>
                <w:sz w:val="24"/>
                <w:szCs w:val="24"/>
              </w:rPr>
              <w:t>Referentni dokument/i:</w:t>
            </w:r>
          </w:p>
        </w:tc>
        <w:tc>
          <w:tcPr>
            <w:tcW w:w="6838" w:type="dxa"/>
          </w:tcPr>
          <w:p w14:paraId="6DC23A55" w14:textId="77777777" w:rsidR="000F251E" w:rsidRPr="00EF1682" w:rsidRDefault="000F251E" w:rsidP="00401AFE">
            <w:pPr>
              <w:tabs>
                <w:tab w:val="center" w:pos="284"/>
              </w:tabs>
              <w:ind w:left="266" w:hanging="266"/>
              <w:rPr>
                <w:rFonts w:ascii="Arial" w:hAnsi="Arial" w:cs="Arial"/>
                <w:sz w:val="24"/>
                <w:szCs w:val="24"/>
              </w:rPr>
            </w:pPr>
            <w:r w:rsidRPr="00EF1682">
              <w:rPr>
                <w:rFonts w:ascii="Arial" w:hAnsi="Arial" w:cs="Arial"/>
                <w:sz w:val="24"/>
                <w:szCs w:val="24"/>
              </w:rPr>
              <w:t>samoinicijativno mišljenje</w:t>
            </w:r>
          </w:p>
          <w:p w14:paraId="4F44B395" w14:textId="77777777" w:rsidR="000F251E" w:rsidRPr="00EF1682" w:rsidRDefault="000F251E" w:rsidP="00401AFE">
            <w:pPr>
              <w:tabs>
                <w:tab w:val="center" w:pos="284"/>
              </w:tabs>
              <w:ind w:left="266" w:hanging="266"/>
              <w:rPr>
                <w:rFonts w:ascii="Arial" w:hAnsi="Arial" w:cs="Arial"/>
                <w:sz w:val="24"/>
                <w:szCs w:val="24"/>
              </w:rPr>
            </w:pPr>
            <w:r w:rsidRPr="00EF1682">
              <w:rPr>
                <w:rFonts w:ascii="Arial" w:hAnsi="Arial" w:cs="Arial"/>
                <w:sz w:val="24"/>
                <w:szCs w:val="24"/>
              </w:rPr>
              <w:t>EESC-2023-00493-00-00-AS-TRA</w:t>
            </w:r>
          </w:p>
        </w:tc>
      </w:tr>
      <w:tr w:rsidR="000F251E" w:rsidRPr="00EF1682" w14:paraId="6B5E116B" w14:textId="77777777" w:rsidTr="00401AFE">
        <w:tc>
          <w:tcPr>
            <w:tcW w:w="2235" w:type="dxa"/>
            <w:vMerge/>
          </w:tcPr>
          <w:p w14:paraId="3276D77D" w14:textId="77777777" w:rsidR="000F251E" w:rsidRPr="00EF1682" w:rsidRDefault="000F251E" w:rsidP="00401AFE">
            <w:pPr>
              <w:tabs>
                <w:tab w:val="center" w:pos="284"/>
              </w:tabs>
              <w:ind w:left="266" w:hanging="266"/>
              <w:rPr>
                <w:rFonts w:ascii="Arial" w:hAnsi="Arial" w:cs="Arial"/>
                <w:b/>
                <w:sz w:val="24"/>
                <w:szCs w:val="24"/>
                <w:lang w:val="en-US"/>
              </w:rPr>
            </w:pPr>
          </w:p>
        </w:tc>
        <w:tc>
          <w:tcPr>
            <w:tcW w:w="6838" w:type="dxa"/>
          </w:tcPr>
          <w:p w14:paraId="1435B499" w14:textId="77777777" w:rsidR="000F251E" w:rsidRPr="00EF1682" w:rsidRDefault="000F251E" w:rsidP="00401AFE">
            <w:pPr>
              <w:tabs>
                <w:tab w:val="center" w:pos="284"/>
              </w:tabs>
              <w:ind w:left="266" w:hanging="266"/>
              <w:rPr>
                <w:rFonts w:ascii="Arial" w:hAnsi="Arial" w:cs="Arial"/>
                <w:sz w:val="24"/>
                <w:szCs w:val="24"/>
                <w:lang w:val="en-US"/>
              </w:rPr>
            </w:pPr>
          </w:p>
        </w:tc>
      </w:tr>
    </w:tbl>
    <w:p w14:paraId="30F5D8B0" w14:textId="45E79E30" w:rsidR="000F251E" w:rsidRPr="00EF1682" w:rsidRDefault="000F251E" w:rsidP="000F251E">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6170B2B8" w14:textId="300C467F" w:rsidR="000F251E" w:rsidRPr="00EF1682" w:rsidRDefault="000F251E" w:rsidP="000F251E">
      <w:pPr>
        <w:rPr>
          <w:rFonts w:ascii="Arial" w:hAnsi="Arial" w:cs="Arial"/>
          <w:bCs/>
          <w:iCs/>
          <w:sz w:val="24"/>
          <w:szCs w:val="24"/>
        </w:rPr>
      </w:pPr>
      <w:r w:rsidRPr="00EF1682">
        <w:rPr>
          <w:rFonts w:ascii="Arial" w:hAnsi="Arial" w:cs="Arial"/>
          <w:sz w:val="24"/>
          <w:szCs w:val="24"/>
        </w:rPr>
        <w:t>EGSO:</w:t>
      </w:r>
    </w:p>
    <w:p w14:paraId="3B8517A8" w14:textId="77777777" w:rsidR="000F251E" w:rsidRPr="00EF1682" w:rsidRDefault="000F251E" w:rsidP="000F251E">
      <w:pPr>
        <w:pStyle w:val="ListParagraph"/>
        <w:widowControl/>
        <w:numPr>
          <w:ilvl w:val="0"/>
          <w:numId w:val="4"/>
        </w:numPr>
        <w:autoSpaceDE/>
        <w:autoSpaceDN/>
        <w:adjustRightInd/>
        <w:spacing w:line="288" w:lineRule="auto"/>
        <w:ind w:left="567" w:hanging="567"/>
        <w:jc w:val="both"/>
        <w:rPr>
          <w:sz w:val="24"/>
          <w:szCs w:val="24"/>
        </w:rPr>
      </w:pPr>
      <w:r w:rsidRPr="00EF1682">
        <w:rPr>
          <w:sz w:val="24"/>
          <w:szCs w:val="24"/>
        </w:rPr>
        <w:t>smatra da se EU treba prestati oslanjati na hitne fiskalne odgovore i usredotočiti se na strukturne promjene koje bi mu omogućile da se brže oslobodi ovisnosti o fosilnim gorivima. Za neometan i konkurentan gospodarski razvoj EU-u je potrebna pouzdana i sigurna isporuka energije po pristupačnim cijenama, koja se temelji na integriranom energetskom tržištu s velikim udjelom čiste energije, koje je otporno i može podnijeti poremećaje i šokove;</w:t>
      </w:r>
    </w:p>
    <w:p w14:paraId="7BE96790" w14:textId="77777777" w:rsidR="000F251E" w:rsidRPr="00EF1682" w:rsidRDefault="000F251E" w:rsidP="000F251E">
      <w:pPr>
        <w:pStyle w:val="ListParagraph"/>
        <w:widowControl/>
        <w:numPr>
          <w:ilvl w:val="0"/>
          <w:numId w:val="4"/>
        </w:numPr>
        <w:autoSpaceDE/>
        <w:autoSpaceDN/>
        <w:adjustRightInd/>
        <w:spacing w:line="288" w:lineRule="auto"/>
        <w:ind w:left="567" w:hanging="567"/>
        <w:jc w:val="both"/>
        <w:rPr>
          <w:sz w:val="24"/>
          <w:szCs w:val="24"/>
        </w:rPr>
      </w:pPr>
      <w:r w:rsidRPr="00EF1682">
        <w:rPr>
          <w:sz w:val="24"/>
          <w:szCs w:val="24"/>
        </w:rPr>
        <w:t xml:space="preserve">na temelju preporuka ESB-a predlaže uspostavu zelenog trostrukog kriterija kako bi se osiguralo da buduće intervencije budu prilagođene, ciljane i održive u tranziciji. U dugoročnijem razdoblju, </w:t>
      </w:r>
      <w:proofErr w:type="spellStart"/>
      <w:r w:rsidRPr="00EF1682">
        <w:rPr>
          <w:sz w:val="24"/>
          <w:szCs w:val="24"/>
        </w:rPr>
        <w:t>neciljane</w:t>
      </w:r>
      <w:proofErr w:type="spellEnd"/>
      <w:r w:rsidRPr="00EF1682">
        <w:rPr>
          <w:sz w:val="24"/>
          <w:szCs w:val="24"/>
        </w:rPr>
        <w:t xml:space="preserve"> mjere kojima se uređuju cijene samo bi produljile razdoblje povišene inflacije;</w:t>
      </w:r>
    </w:p>
    <w:p w14:paraId="4436EFDB" w14:textId="77777777" w:rsidR="000F251E" w:rsidRPr="00EF1682" w:rsidRDefault="000F251E" w:rsidP="000F251E">
      <w:pPr>
        <w:pStyle w:val="ListParagraph"/>
        <w:widowControl/>
        <w:numPr>
          <w:ilvl w:val="0"/>
          <w:numId w:val="4"/>
        </w:numPr>
        <w:autoSpaceDE/>
        <w:autoSpaceDN/>
        <w:adjustRightInd/>
        <w:spacing w:line="288" w:lineRule="auto"/>
        <w:ind w:left="567" w:hanging="567"/>
        <w:jc w:val="both"/>
        <w:rPr>
          <w:sz w:val="24"/>
          <w:szCs w:val="24"/>
        </w:rPr>
      </w:pPr>
      <w:r w:rsidRPr="00EF1682">
        <w:rPr>
          <w:sz w:val="24"/>
          <w:szCs w:val="24"/>
        </w:rPr>
        <w:t>traži da se osmisli odgovarajući dugoročni okvir za snažno financiranje provedbe zelenog plana kako bi se na jednostavan i učinkovit način poduprle mjere kojima se financira prijelaz na klimatski neutralno gospodarstvo.</w:t>
      </w:r>
    </w:p>
    <w:p w14:paraId="44AC587E" w14:textId="77777777" w:rsidR="000F251E" w:rsidRPr="00EF1682" w:rsidRDefault="000F251E" w:rsidP="000F251E">
      <w:pPr>
        <w:pStyle w:val="ListParagraph"/>
        <w:widowControl/>
        <w:autoSpaceDE/>
        <w:autoSpaceDN/>
        <w:adjustRightInd/>
        <w:spacing w:line="288" w:lineRule="auto"/>
        <w:ind w:left="567"/>
        <w:jc w:val="both"/>
        <w:rPr>
          <w:sz w:val="24"/>
          <w:szCs w:val="24"/>
        </w:rPr>
      </w:pPr>
    </w:p>
    <w:p w14:paraId="47F00FBE" w14:textId="33F5D719" w:rsidR="00AE792A" w:rsidRPr="00EF1682" w:rsidRDefault="000F251E" w:rsidP="00540990">
      <w:pPr>
        <w:widowControl w:val="0"/>
        <w:overflowPunct w:val="0"/>
        <w:autoSpaceDE w:val="0"/>
        <w:autoSpaceDN w:val="0"/>
        <w:adjustRightInd w:val="0"/>
        <w:ind w:left="567"/>
        <w:textAlignment w:val="baseline"/>
        <w:rPr>
          <w:rStyle w:val="Hyperlink"/>
          <w:rFonts w:ascii="Arial" w:hAnsi="Arial" w:cs="Arial"/>
          <w:color w:val="auto"/>
          <w:sz w:val="24"/>
          <w:szCs w:val="24"/>
          <w:u w:val="none"/>
        </w:rPr>
      </w:pPr>
      <w:r w:rsidRPr="00EF1682">
        <w:rPr>
          <w:rFonts w:ascii="Arial" w:hAnsi="Arial" w:cs="Arial"/>
          <w:b/>
          <w:bCs/>
          <w:i/>
          <w:iCs/>
          <w:sz w:val="24"/>
          <w:szCs w:val="24"/>
        </w:rPr>
        <w:t>TEN/799 –</w:t>
      </w:r>
      <w:r w:rsidR="00540990" w:rsidRPr="00EF1682">
        <w:rPr>
          <w:rFonts w:ascii="Arial" w:hAnsi="Arial" w:cs="Arial"/>
          <w:b/>
          <w:bCs/>
          <w:i/>
          <w:iCs/>
          <w:sz w:val="24"/>
          <w:szCs w:val="24"/>
        </w:rPr>
        <w:t>Praćenje izvanrednih mjera i otpornosti EU-a u području energije</w:t>
      </w:r>
      <w:r w:rsidRPr="00EF1682">
        <w:rPr>
          <w:rFonts w:ascii="Arial" w:hAnsi="Arial" w:cs="Arial"/>
          <w:i/>
          <w:iCs/>
          <w:sz w:val="24"/>
          <w:szCs w:val="24"/>
        </w:rPr>
        <w:t xml:space="preserve"> </w:t>
      </w:r>
    </w:p>
    <w:p w14:paraId="14FE3992" w14:textId="77777777" w:rsidR="000F251E" w:rsidRPr="00EF1682" w:rsidRDefault="000F251E" w:rsidP="000F251E">
      <w:pPr>
        <w:tabs>
          <w:tab w:val="center" w:pos="284"/>
        </w:tabs>
        <w:ind w:left="266" w:hanging="266"/>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387"/>
      </w:tblGrid>
      <w:tr w:rsidR="000F251E" w:rsidRPr="00EF1682" w14:paraId="396C3BED" w14:textId="77777777" w:rsidTr="00401AFE">
        <w:tc>
          <w:tcPr>
            <w:tcW w:w="1701" w:type="dxa"/>
          </w:tcPr>
          <w:p w14:paraId="77F35DE4" w14:textId="77777777" w:rsidR="000F251E" w:rsidRPr="00EF1682" w:rsidRDefault="000F251E" w:rsidP="00401AFE">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5387" w:type="dxa"/>
          </w:tcPr>
          <w:p w14:paraId="4E65FB73" w14:textId="77777777" w:rsidR="000F251E" w:rsidRPr="00EF1682" w:rsidRDefault="000F251E" w:rsidP="00401AFE">
            <w:pPr>
              <w:tabs>
                <w:tab w:val="center" w:pos="284"/>
              </w:tabs>
              <w:ind w:left="266" w:hanging="266"/>
              <w:rPr>
                <w:rFonts w:ascii="Arial" w:hAnsi="Arial" w:cs="Arial"/>
                <w:sz w:val="24"/>
                <w:szCs w:val="24"/>
              </w:rPr>
            </w:pPr>
            <w:r w:rsidRPr="00EF1682">
              <w:rPr>
                <w:rFonts w:ascii="Arial" w:hAnsi="Arial" w:cs="Arial"/>
                <w:sz w:val="24"/>
                <w:szCs w:val="24"/>
              </w:rPr>
              <w:t xml:space="preserve">Andrés BARCELÓ DELGADO </w:t>
            </w:r>
          </w:p>
        </w:tc>
      </w:tr>
      <w:tr w:rsidR="000F251E" w:rsidRPr="00EF1682" w14:paraId="2A79179D" w14:textId="77777777" w:rsidTr="00401AFE">
        <w:tc>
          <w:tcPr>
            <w:tcW w:w="7088" w:type="dxa"/>
            <w:gridSpan w:val="2"/>
          </w:tcPr>
          <w:p w14:paraId="0843C213" w14:textId="77777777" w:rsidR="000F251E" w:rsidRPr="00EF1682" w:rsidRDefault="000F251E" w:rsidP="00401AFE">
            <w:pPr>
              <w:tabs>
                <w:tab w:val="center" w:pos="284"/>
              </w:tabs>
              <w:spacing w:line="160" w:lineRule="exact"/>
              <w:ind w:left="266" w:hanging="266"/>
              <w:rPr>
                <w:rFonts w:ascii="Arial" w:hAnsi="Arial" w:cs="Arial"/>
                <w:sz w:val="24"/>
                <w:szCs w:val="24"/>
                <w:lang w:val="en-US"/>
              </w:rPr>
            </w:pPr>
          </w:p>
        </w:tc>
      </w:tr>
      <w:tr w:rsidR="000F251E" w:rsidRPr="00EF1682" w14:paraId="07D520C4" w14:textId="77777777" w:rsidTr="00401AFE">
        <w:tc>
          <w:tcPr>
            <w:tcW w:w="1701" w:type="dxa"/>
          </w:tcPr>
          <w:p w14:paraId="028BAB2B" w14:textId="77777777" w:rsidR="000F251E" w:rsidRPr="00EF1682" w:rsidRDefault="000F251E" w:rsidP="00401AFE">
            <w:pPr>
              <w:tabs>
                <w:tab w:val="center" w:pos="284"/>
              </w:tabs>
              <w:ind w:left="266" w:hanging="266"/>
              <w:rPr>
                <w:rFonts w:ascii="Arial" w:hAnsi="Arial" w:cs="Arial"/>
                <w:b/>
                <w:sz w:val="24"/>
                <w:szCs w:val="24"/>
              </w:rPr>
            </w:pPr>
            <w:r w:rsidRPr="00EF1682">
              <w:rPr>
                <w:rFonts w:ascii="Arial" w:hAnsi="Arial" w:cs="Arial"/>
                <w:b/>
                <w:sz w:val="24"/>
                <w:szCs w:val="24"/>
              </w:rPr>
              <w:t>Referentni dokument/i:</w:t>
            </w:r>
          </w:p>
        </w:tc>
        <w:tc>
          <w:tcPr>
            <w:tcW w:w="5387" w:type="dxa"/>
          </w:tcPr>
          <w:p w14:paraId="43324EE3" w14:textId="77777777" w:rsidR="000F251E" w:rsidRPr="00EF1682" w:rsidRDefault="000F251E" w:rsidP="00401AFE">
            <w:pPr>
              <w:tabs>
                <w:tab w:val="center" w:pos="284"/>
              </w:tabs>
              <w:ind w:left="266" w:hanging="266"/>
              <w:rPr>
                <w:rFonts w:ascii="Arial" w:hAnsi="Arial" w:cs="Arial"/>
                <w:sz w:val="24"/>
                <w:szCs w:val="24"/>
              </w:rPr>
            </w:pPr>
            <w:r w:rsidRPr="00EF1682">
              <w:rPr>
                <w:rFonts w:ascii="Arial" w:hAnsi="Arial" w:cs="Arial"/>
                <w:sz w:val="24"/>
                <w:szCs w:val="24"/>
              </w:rPr>
              <w:t>TEN/799</w:t>
            </w:r>
          </w:p>
          <w:p w14:paraId="7C093221" w14:textId="77777777" w:rsidR="000F251E" w:rsidRPr="00EF1682" w:rsidRDefault="000F251E" w:rsidP="00401AFE">
            <w:pPr>
              <w:tabs>
                <w:tab w:val="center" w:pos="284"/>
              </w:tabs>
              <w:ind w:left="266" w:hanging="266"/>
              <w:rPr>
                <w:rFonts w:ascii="Arial" w:hAnsi="Arial" w:cs="Arial"/>
                <w:sz w:val="24"/>
                <w:szCs w:val="24"/>
              </w:rPr>
            </w:pPr>
            <w:proofErr w:type="spellStart"/>
            <w:r w:rsidRPr="00EF1682">
              <w:rPr>
                <w:rFonts w:ascii="Arial" w:hAnsi="Arial" w:cs="Arial"/>
                <w:sz w:val="24"/>
                <w:szCs w:val="24"/>
              </w:rPr>
              <w:t>Razmatračko</w:t>
            </w:r>
            <w:proofErr w:type="spellEnd"/>
            <w:r w:rsidRPr="00EF1682">
              <w:rPr>
                <w:rFonts w:ascii="Arial" w:hAnsi="Arial" w:cs="Arial"/>
                <w:sz w:val="24"/>
                <w:szCs w:val="24"/>
              </w:rPr>
              <w:t xml:space="preserve"> mišljenje na zahtjev španjolskog predsjedništva</w:t>
            </w:r>
          </w:p>
        </w:tc>
      </w:tr>
    </w:tbl>
    <w:p w14:paraId="1656AD96" w14:textId="77777777" w:rsidR="000F251E" w:rsidRPr="00EF1682" w:rsidRDefault="000F251E" w:rsidP="00DD0DF2">
      <w:pPr>
        <w:tabs>
          <w:tab w:val="center" w:pos="284"/>
        </w:tabs>
        <w:rPr>
          <w:rFonts w:ascii="Arial" w:hAnsi="Arial" w:cs="Arial"/>
          <w:sz w:val="24"/>
          <w:szCs w:val="24"/>
        </w:rPr>
      </w:pPr>
    </w:p>
    <w:p w14:paraId="4CEF2CED" w14:textId="2F55F9FF" w:rsidR="000F251E" w:rsidRPr="00EF1682" w:rsidRDefault="000F251E" w:rsidP="00DD0DF2">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7906FBA8" w14:textId="10646602" w:rsidR="000F251E" w:rsidRPr="00EF1682" w:rsidRDefault="000F251E" w:rsidP="000F251E">
      <w:pPr>
        <w:rPr>
          <w:rFonts w:ascii="Arial" w:hAnsi="Arial" w:cs="Arial"/>
          <w:bCs/>
          <w:iCs/>
          <w:sz w:val="24"/>
          <w:szCs w:val="24"/>
        </w:rPr>
      </w:pPr>
      <w:r w:rsidRPr="00EF1682">
        <w:rPr>
          <w:rFonts w:ascii="Arial" w:hAnsi="Arial" w:cs="Arial"/>
          <w:sz w:val="24"/>
          <w:szCs w:val="24"/>
        </w:rPr>
        <w:t>EGSO:</w:t>
      </w:r>
    </w:p>
    <w:p w14:paraId="165AD0E3" w14:textId="29643197" w:rsidR="000F251E" w:rsidRPr="005C2C04" w:rsidRDefault="000F251E" w:rsidP="005C2C04">
      <w:pPr>
        <w:widowControl w:val="0"/>
        <w:numPr>
          <w:ilvl w:val="0"/>
          <w:numId w:val="3"/>
        </w:numPr>
        <w:overflowPunct w:val="0"/>
        <w:autoSpaceDE w:val="0"/>
        <w:autoSpaceDN w:val="0"/>
        <w:adjustRightInd w:val="0"/>
        <w:ind w:left="709" w:hanging="425"/>
        <w:textAlignment w:val="baseline"/>
        <w:rPr>
          <w:rFonts w:ascii="Arial" w:hAnsi="Arial" w:cs="Arial"/>
          <w:bCs/>
          <w:iCs/>
          <w:sz w:val="24"/>
          <w:szCs w:val="24"/>
        </w:rPr>
      </w:pPr>
      <w:r w:rsidRPr="00EF1682">
        <w:rPr>
          <w:rFonts w:ascii="Arial" w:hAnsi="Arial" w:cs="Arial"/>
          <w:sz w:val="24"/>
          <w:szCs w:val="24"/>
        </w:rPr>
        <w:t>preporučuje u svim državama članicama donijeti jedinstvene mjere, osim u aspektima koji se odnose na ključna postrojenja ili infrastrukturu;</w:t>
      </w:r>
    </w:p>
    <w:p w14:paraId="35B1BD62" w14:textId="70DFEEB4" w:rsidR="000F251E" w:rsidRPr="005C2C04" w:rsidRDefault="000F251E" w:rsidP="005C2C04">
      <w:pPr>
        <w:widowControl w:val="0"/>
        <w:numPr>
          <w:ilvl w:val="0"/>
          <w:numId w:val="3"/>
        </w:numPr>
        <w:overflowPunct w:val="0"/>
        <w:autoSpaceDE w:val="0"/>
        <w:autoSpaceDN w:val="0"/>
        <w:adjustRightInd w:val="0"/>
        <w:ind w:left="709" w:hanging="425"/>
        <w:textAlignment w:val="baseline"/>
        <w:rPr>
          <w:rFonts w:ascii="Arial" w:hAnsi="Arial" w:cs="Arial"/>
          <w:bCs/>
          <w:iCs/>
          <w:sz w:val="24"/>
          <w:szCs w:val="24"/>
        </w:rPr>
      </w:pPr>
      <w:r w:rsidRPr="00EF1682">
        <w:rPr>
          <w:rFonts w:ascii="Arial" w:hAnsi="Arial" w:cs="Arial"/>
          <w:sz w:val="24"/>
          <w:szCs w:val="24"/>
        </w:rPr>
        <w:t>ističe da se politikom EU-a mora ojačati njegova dugoročna vizija ostvarenja usporedne tranzicije uz čvrstu obavezu da nitko ne bude zapostavljen, za što treba učiniti više od donošenja privremenih mjera za ublažavanje naglog porasta kratkoročnih cijena energije;</w:t>
      </w:r>
    </w:p>
    <w:p w14:paraId="6EBBC886" w14:textId="51471CC0" w:rsidR="000F251E" w:rsidRPr="005C2C04" w:rsidRDefault="000F251E" w:rsidP="005C2C04">
      <w:pPr>
        <w:widowControl w:val="0"/>
        <w:numPr>
          <w:ilvl w:val="0"/>
          <w:numId w:val="3"/>
        </w:numPr>
        <w:overflowPunct w:val="0"/>
        <w:autoSpaceDE w:val="0"/>
        <w:autoSpaceDN w:val="0"/>
        <w:adjustRightInd w:val="0"/>
        <w:ind w:left="709" w:hanging="425"/>
        <w:textAlignment w:val="baseline"/>
        <w:rPr>
          <w:rFonts w:ascii="Arial" w:hAnsi="Arial" w:cs="Arial"/>
          <w:bCs/>
          <w:iCs/>
          <w:sz w:val="24"/>
          <w:szCs w:val="24"/>
        </w:rPr>
      </w:pPr>
      <w:r w:rsidRPr="00EF1682">
        <w:rPr>
          <w:rFonts w:ascii="Arial" w:hAnsi="Arial" w:cs="Arial"/>
          <w:sz w:val="24"/>
          <w:szCs w:val="24"/>
        </w:rPr>
        <w:t>smatra da stabilni i predvidljivi programi naknada za obnovljive izvore energije moraju biti usmjereni na stvarne dugoročne troškove proizvodnje i odvojeni od cijena fosilnih goriva;</w:t>
      </w:r>
    </w:p>
    <w:p w14:paraId="35089CD0" w14:textId="77777777" w:rsidR="000F251E" w:rsidRPr="00EF1682" w:rsidRDefault="000F251E" w:rsidP="000F251E">
      <w:pPr>
        <w:widowControl w:val="0"/>
        <w:numPr>
          <w:ilvl w:val="0"/>
          <w:numId w:val="3"/>
        </w:numPr>
        <w:overflowPunct w:val="0"/>
        <w:autoSpaceDE w:val="0"/>
        <w:autoSpaceDN w:val="0"/>
        <w:adjustRightInd w:val="0"/>
        <w:ind w:left="709" w:hanging="425"/>
        <w:textAlignment w:val="baseline"/>
        <w:rPr>
          <w:rFonts w:ascii="Arial" w:hAnsi="Arial" w:cs="Arial"/>
          <w:sz w:val="24"/>
          <w:szCs w:val="24"/>
        </w:rPr>
      </w:pPr>
      <w:r w:rsidRPr="00EF1682">
        <w:rPr>
          <w:rFonts w:ascii="Arial" w:hAnsi="Arial" w:cs="Arial"/>
          <w:sz w:val="24"/>
          <w:szCs w:val="24"/>
        </w:rPr>
        <w:t>smatra da je važno ubrzati postupke izdavanja dozvola i tako ubrzati opsežno uvođenje izvora energije bez ugljika kako bi se omogućilo brzo ukidanje ovisnosti o fosilnim gorivima trećih strana, ispunjavanje obveza u pogledu klimatskih promjena i povećanje konkurentnosti.</w:t>
      </w:r>
    </w:p>
    <w:p w14:paraId="3A474CAA" w14:textId="77777777" w:rsidR="002E66B3" w:rsidRPr="00EF1682" w:rsidRDefault="002E66B3" w:rsidP="002E66B3">
      <w:pPr>
        <w:rPr>
          <w:rFonts w:ascii="Arial" w:hAnsi="Arial" w:cs="Arial"/>
          <w:sz w:val="24"/>
          <w:szCs w:val="24"/>
        </w:rPr>
      </w:pPr>
    </w:p>
    <w:tbl>
      <w:tblPr>
        <w:tblW w:w="5000" w:type="pct"/>
        <w:tblLayout w:type="fixed"/>
        <w:tblCellMar>
          <w:left w:w="107" w:type="dxa"/>
          <w:right w:w="107" w:type="dxa"/>
        </w:tblCellMar>
        <w:tblLook w:val="0000" w:firstRow="0" w:lastRow="0" w:firstColumn="0" w:lastColumn="0" w:noHBand="0" w:noVBand="0"/>
      </w:tblPr>
      <w:tblGrid>
        <w:gridCol w:w="9026"/>
      </w:tblGrid>
      <w:tr w:rsidR="00540990" w:rsidRPr="00EF1682" w14:paraId="3BFE6A98" w14:textId="77777777" w:rsidTr="00D639EC">
        <w:trPr>
          <w:cantSplit/>
        </w:trPr>
        <w:tc>
          <w:tcPr>
            <w:tcW w:w="3600" w:type="pct"/>
            <w:tcMar>
              <w:left w:w="108" w:type="dxa"/>
              <w:right w:w="108" w:type="dxa"/>
            </w:tcMar>
          </w:tcPr>
          <w:p w14:paraId="030B337A" w14:textId="2C8D0D82" w:rsidR="00540990" w:rsidRPr="00EF1682" w:rsidRDefault="00540990" w:rsidP="00D639EC">
            <w:pPr>
              <w:rPr>
                <w:rFonts w:ascii="Arial" w:hAnsi="Arial" w:cs="Arial"/>
                <w:b/>
                <w:i/>
                <w:iCs/>
                <w:sz w:val="24"/>
                <w:szCs w:val="24"/>
              </w:rPr>
            </w:pPr>
            <w:r w:rsidRPr="00EF1682">
              <w:rPr>
                <w:rFonts w:ascii="Arial" w:hAnsi="Arial" w:cs="Arial"/>
                <w:b/>
                <w:i/>
                <w:iCs/>
                <w:sz w:val="24"/>
                <w:szCs w:val="24"/>
              </w:rPr>
              <w:t>TEN/808</w:t>
            </w:r>
            <w:r w:rsidRPr="00EF1682">
              <w:rPr>
                <w:rFonts w:ascii="Arial" w:hAnsi="Arial" w:cs="Arial"/>
                <w:b/>
                <w:i/>
                <w:iCs/>
                <w:sz w:val="24"/>
                <w:szCs w:val="24"/>
              </w:rPr>
              <w:t xml:space="preserve"> </w:t>
            </w:r>
            <w:r w:rsidRPr="00EF1682">
              <w:rPr>
                <w:rFonts w:ascii="Arial" w:hAnsi="Arial" w:cs="Arial"/>
                <w:i/>
                <w:iCs/>
                <w:sz w:val="24"/>
                <w:szCs w:val="24"/>
              </w:rPr>
              <w:t xml:space="preserve">- </w:t>
            </w:r>
            <w:r w:rsidRPr="00EF1682">
              <w:rPr>
                <w:rFonts w:ascii="Arial" w:hAnsi="Arial" w:cs="Arial"/>
                <w:b/>
                <w:i/>
                <w:iCs/>
                <w:sz w:val="24"/>
                <w:szCs w:val="24"/>
              </w:rPr>
              <w:t>Veleprodajno tržište energije EU-a</w:t>
            </w:r>
          </w:p>
          <w:p w14:paraId="20140161" w14:textId="77777777" w:rsidR="00195750" w:rsidRPr="00EF1682" w:rsidRDefault="00195750" w:rsidP="00D639EC">
            <w:pPr>
              <w:rPr>
                <w:rFonts w:ascii="Arial" w:hAnsi="Arial" w:cs="Arial"/>
                <w:b/>
                <w:bCs/>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088"/>
            </w:tblGrid>
            <w:tr w:rsidR="00195750" w:rsidRPr="00EF1682" w14:paraId="7F0AD974" w14:textId="77777777" w:rsidTr="00D639EC">
              <w:tc>
                <w:tcPr>
                  <w:tcW w:w="1701" w:type="dxa"/>
                </w:tcPr>
                <w:p w14:paraId="09B90174" w14:textId="77777777" w:rsidR="00195750" w:rsidRPr="00EF1682" w:rsidRDefault="00195750" w:rsidP="00195750">
                  <w:pPr>
                    <w:tabs>
                      <w:tab w:val="center" w:pos="284"/>
                    </w:tabs>
                    <w:ind w:left="596" w:hanging="709"/>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p w14:paraId="1979705F" w14:textId="35882975" w:rsidR="00195750" w:rsidRPr="00EF1682" w:rsidRDefault="00195750" w:rsidP="00195750">
                  <w:pPr>
                    <w:tabs>
                      <w:tab w:val="center" w:pos="284"/>
                    </w:tabs>
                    <w:ind w:left="596" w:hanging="709"/>
                    <w:rPr>
                      <w:rFonts w:ascii="Arial" w:hAnsi="Arial" w:cs="Arial"/>
                      <w:b/>
                      <w:sz w:val="24"/>
                      <w:szCs w:val="24"/>
                    </w:rPr>
                  </w:pPr>
                  <w:r w:rsidRPr="00EF1682">
                    <w:rPr>
                      <w:rFonts w:ascii="Arial" w:hAnsi="Arial" w:cs="Arial"/>
                      <w:b/>
                      <w:sz w:val="24"/>
                      <w:szCs w:val="24"/>
                    </w:rPr>
                    <w:t>Suizvjestitelj/</w:t>
                  </w:r>
                  <w:proofErr w:type="spellStart"/>
                  <w:r w:rsidRPr="00EF1682">
                    <w:rPr>
                      <w:rFonts w:ascii="Arial" w:hAnsi="Arial" w:cs="Arial"/>
                      <w:b/>
                      <w:sz w:val="24"/>
                      <w:szCs w:val="24"/>
                    </w:rPr>
                    <w:t>ica</w:t>
                  </w:r>
                  <w:proofErr w:type="spellEnd"/>
                </w:p>
                <w:p w14:paraId="2D6FC836" w14:textId="77777777" w:rsidR="00195750" w:rsidRPr="00EF1682" w:rsidRDefault="00195750" w:rsidP="0015792A">
                  <w:pPr>
                    <w:tabs>
                      <w:tab w:val="center" w:pos="284"/>
                    </w:tabs>
                    <w:rPr>
                      <w:rFonts w:ascii="Arial" w:hAnsi="Arial" w:cs="Arial"/>
                      <w:b/>
                      <w:sz w:val="24"/>
                      <w:szCs w:val="24"/>
                      <w:lang w:val="en-US"/>
                    </w:rPr>
                  </w:pPr>
                </w:p>
                <w:p w14:paraId="3460829B" w14:textId="172794D1" w:rsidR="00195750" w:rsidRPr="00EF1682" w:rsidRDefault="00195750" w:rsidP="00195750">
                  <w:pPr>
                    <w:tabs>
                      <w:tab w:val="center" w:pos="284"/>
                    </w:tabs>
                    <w:ind w:left="596" w:hanging="709"/>
                    <w:rPr>
                      <w:rFonts w:ascii="Arial" w:hAnsi="Arial" w:cs="Arial"/>
                      <w:b/>
                      <w:sz w:val="24"/>
                      <w:szCs w:val="24"/>
                    </w:rPr>
                  </w:pPr>
                  <w:r w:rsidRPr="00EF1682">
                    <w:rPr>
                      <w:rFonts w:ascii="Arial" w:hAnsi="Arial" w:cs="Arial"/>
                      <w:b/>
                      <w:sz w:val="24"/>
                      <w:szCs w:val="24"/>
                    </w:rPr>
                    <w:t>Referentni</w:t>
                  </w:r>
                  <w:r w:rsidRPr="00EF1682">
                    <w:rPr>
                      <w:rFonts w:ascii="Arial" w:hAnsi="Arial" w:cs="Arial"/>
                      <w:b/>
                      <w:sz w:val="24"/>
                      <w:szCs w:val="24"/>
                    </w:rPr>
                    <w:t xml:space="preserve"> </w:t>
                  </w:r>
                  <w:r w:rsidRPr="00EF1682">
                    <w:rPr>
                      <w:rFonts w:ascii="Arial" w:hAnsi="Arial" w:cs="Arial"/>
                      <w:b/>
                      <w:sz w:val="24"/>
                      <w:szCs w:val="24"/>
                    </w:rPr>
                    <w:t>dokument/i:</w:t>
                  </w:r>
                </w:p>
              </w:tc>
              <w:tc>
                <w:tcPr>
                  <w:tcW w:w="7088" w:type="dxa"/>
                </w:tcPr>
                <w:p w14:paraId="757F369E" w14:textId="77777777" w:rsidR="00195750" w:rsidRPr="00EF1682" w:rsidRDefault="00195750" w:rsidP="00195750">
                  <w:pPr>
                    <w:tabs>
                      <w:tab w:val="center" w:pos="284"/>
                    </w:tabs>
                    <w:ind w:left="720" w:right="-1673" w:hanging="720"/>
                    <w:rPr>
                      <w:rFonts w:ascii="Arial" w:hAnsi="Arial" w:cs="Arial"/>
                      <w:bCs/>
                      <w:sz w:val="24"/>
                      <w:szCs w:val="24"/>
                    </w:rPr>
                  </w:pPr>
                  <w:r w:rsidRPr="00EF1682">
                    <w:rPr>
                      <w:rFonts w:ascii="Arial" w:hAnsi="Arial" w:cs="Arial"/>
                      <w:sz w:val="24"/>
                      <w:szCs w:val="24"/>
                    </w:rPr>
                    <w:t>Alena MASTANTUONO (Skupina poslodavaca – GR I / Češka)</w:t>
                  </w:r>
                </w:p>
                <w:p w14:paraId="5D77150A" w14:textId="3A85B284" w:rsidR="00195750" w:rsidRPr="00EF1682" w:rsidRDefault="00195750" w:rsidP="00195750">
                  <w:pPr>
                    <w:tabs>
                      <w:tab w:val="center" w:pos="284"/>
                    </w:tabs>
                    <w:ind w:left="720" w:hanging="720"/>
                    <w:rPr>
                      <w:rFonts w:ascii="Arial" w:hAnsi="Arial" w:cs="Arial"/>
                      <w:bCs/>
                      <w:sz w:val="24"/>
                      <w:szCs w:val="24"/>
                    </w:rPr>
                  </w:pPr>
                  <w:proofErr w:type="spellStart"/>
                  <w:r w:rsidRPr="00EF1682">
                    <w:rPr>
                      <w:rFonts w:ascii="Arial" w:hAnsi="Arial" w:cs="Arial"/>
                      <w:sz w:val="24"/>
                      <w:szCs w:val="24"/>
                    </w:rPr>
                    <w:t>Lutz</w:t>
                  </w:r>
                  <w:proofErr w:type="spellEnd"/>
                  <w:r w:rsidRPr="00EF1682">
                    <w:rPr>
                      <w:rFonts w:ascii="Arial" w:hAnsi="Arial" w:cs="Arial"/>
                      <w:sz w:val="24"/>
                      <w:szCs w:val="24"/>
                    </w:rPr>
                    <w:t xml:space="preserve"> RIBBE (Raznolikost Europe – GR III / Njemačka)</w:t>
                  </w:r>
                </w:p>
                <w:p w14:paraId="3C6F12AD" w14:textId="77777777" w:rsidR="00195750" w:rsidRPr="00EF1682" w:rsidRDefault="00195750" w:rsidP="00195750">
                  <w:pPr>
                    <w:tabs>
                      <w:tab w:val="center" w:pos="284"/>
                    </w:tabs>
                    <w:ind w:left="720" w:hanging="720"/>
                    <w:rPr>
                      <w:rFonts w:ascii="Arial" w:hAnsi="Arial" w:cs="Arial"/>
                      <w:sz w:val="24"/>
                      <w:szCs w:val="24"/>
                      <w:lang w:val="fr-FR"/>
                    </w:rPr>
                  </w:pPr>
                </w:p>
                <w:p w14:paraId="0C2C3BDC" w14:textId="77777777" w:rsidR="00195750" w:rsidRPr="00EF1682" w:rsidRDefault="00195750" w:rsidP="00195750">
                  <w:pPr>
                    <w:tabs>
                      <w:tab w:val="center" w:pos="284"/>
                    </w:tabs>
                    <w:ind w:left="720" w:hanging="720"/>
                    <w:rPr>
                      <w:rFonts w:ascii="Arial" w:hAnsi="Arial" w:cs="Arial"/>
                      <w:sz w:val="24"/>
                      <w:szCs w:val="24"/>
                    </w:rPr>
                  </w:pPr>
                  <w:r w:rsidRPr="00EF1682">
                    <w:rPr>
                      <w:rFonts w:ascii="Arial" w:hAnsi="Arial" w:cs="Arial"/>
                      <w:sz w:val="24"/>
                      <w:szCs w:val="24"/>
                    </w:rPr>
                    <w:t>EESC-2023-01713-00-00-AC-TRA</w:t>
                  </w:r>
                </w:p>
                <w:p w14:paraId="18012591" w14:textId="77777777" w:rsidR="00195750" w:rsidRPr="00EF1682" w:rsidRDefault="00195750" w:rsidP="00195750">
                  <w:pPr>
                    <w:tabs>
                      <w:tab w:val="center" w:pos="284"/>
                    </w:tabs>
                    <w:ind w:left="720" w:hanging="720"/>
                    <w:rPr>
                      <w:rFonts w:ascii="Arial" w:hAnsi="Arial" w:cs="Arial"/>
                      <w:sz w:val="24"/>
                      <w:szCs w:val="24"/>
                    </w:rPr>
                  </w:pPr>
                  <w:r w:rsidRPr="00EF1682">
                    <w:rPr>
                      <w:rFonts w:ascii="Arial" w:hAnsi="Arial" w:cs="Arial"/>
                      <w:sz w:val="24"/>
                      <w:szCs w:val="24"/>
                    </w:rPr>
                    <w:t xml:space="preserve">COM(2023)147 </w:t>
                  </w:r>
                  <w:proofErr w:type="spellStart"/>
                  <w:r w:rsidRPr="00EF1682">
                    <w:rPr>
                      <w:rFonts w:ascii="Arial" w:hAnsi="Arial" w:cs="Arial"/>
                      <w:sz w:val="24"/>
                      <w:szCs w:val="24"/>
                    </w:rPr>
                    <w:t>final</w:t>
                  </w:r>
                  <w:proofErr w:type="spellEnd"/>
                </w:p>
              </w:tc>
            </w:tr>
          </w:tbl>
          <w:p w14:paraId="163CFFB2" w14:textId="67247EFF" w:rsidR="00195750" w:rsidRPr="00EF1682" w:rsidRDefault="00195750" w:rsidP="0015792A">
            <w:pPr>
              <w:keepNext/>
              <w:keepLines/>
              <w:tabs>
                <w:tab w:val="center" w:pos="284"/>
              </w:tabs>
              <w:ind w:left="720" w:hanging="720"/>
              <w:rPr>
                <w:rFonts w:ascii="Arial" w:hAnsi="Arial" w:cs="Arial"/>
                <w:b/>
                <w:sz w:val="24"/>
                <w:szCs w:val="24"/>
              </w:rPr>
            </w:pPr>
            <w:r w:rsidRPr="00EF1682">
              <w:rPr>
                <w:rFonts w:ascii="Arial" w:hAnsi="Arial" w:cs="Arial"/>
                <w:b/>
                <w:sz w:val="24"/>
                <w:szCs w:val="24"/>
              </w:rPr>
              <w:t>Ključne točke:</w:t>
            </w:r>
          </w:p>
          <w:p w14:paraId="120BF3A1" w14:textId="3420E529" w:rsidR="00195750" w:rsidRPr="00EF1682" w:rsidRDefault="00195750" w:rsidP="00195750">
            <w:pPr>
              <w:keepNext/>
              <w:keepLines/>
              <w:tabs>
                <w:tab w:val="center" w:pos="284"/>
              </w:tabs>
              <w:ind w:left="720" w:hanging="720"/>
              <w:rPr>
                <w:rFonts w:ascii="Arial" w:hAnsi="Arial" w:cs="Arial"/>
                <w:b/>
                <w:sz w:val="24"/>
                <w:szCs w:val="24"/>
              </w:rPr>
            </w:pPr>
            <w:r w:rsidRPr="00EF1682">
              <w:rPr>
                <w:rFonts w:ascii="Arial" w:hAnsi="Arial" w:cs="Arial"/>
                <w:sz w:val="24"/>
                <w:szCs w:val="24"/>
              </w:rPr>
              <w:t>EGSO:</w:t>
            </w:r>
          </w:p>
          <w:p w14:paraId="3B56B443" w14:textId="5E924F15" w:rsidR="00195750" w:rsidRPr="005C2C04" w:rsidRDefault="00195750" w:rsidP="005C2C04">
            <w:pPr>
              <w:numPr>
                <w:ilvl w:val="0"/>
                <w:numId w:val="13"/>
              </w:numPr>
              <w:ind w:left="720" w:hanging="360"/>
              <w:rPr>
                <w:rFonts w:ascii="Arial" w:hAnsi="Arial" w:cs="Arial"/>
                <w:sz w:val="24"/>
                <w:szCs w:val="24"/>
              </w:rPr>
            </w:pPr>
            <w:r w:rsidRPr="00EF1682">
              <w:rPr>
                <w:rFonts w:ascii="Arial" w:hAnsi="Arial" w:cs="Arial"/>
                <w:sz w:val="24"/>
                <w:szCs w:val="24"/>
              </w:rPr>
              <w:t xml:space="preserve">pozdravlja temeljni cilj predložene uredbe, a to je jačanje praćenja i transparentnosti veleprodajnih tržišta energije. Naglašava da je potrebno kontinuirano praćenje i analiza kako bi se moglo pravodobno i pouzdano intervenirati i dati regulatorni odgovori te poziva na proporcionalnost u izvješćivanju o podacima i na primjenu načela „samo jednom”. Cilj revizije trebao bi biti uspostava transparentnog i </w:t>
            </w:r>
            <w:proofErr w:type="spellStart"/>
            <w:r w:rsidRPr="00EF1682">
              <w:rPr>
                <w:rFonts w:ascii="Arial" w:hAnsi="Arial" w:cs="Arial"/>
                <w:sz w:val="24"/>
                <w:szCs w:val="24"/>
              </w:rPr>
              <w:t>nediskriminirajućeg</w:t>
            </w:r>
            <w:proofErr w:type="spellEnd"/>
            <w:r w:rsidRPr="00EF1682">
              <w:rPr>
                <w:rFonts w:ascii="Arial" w:hAnsi="Arial" w:cs="Arial"/>
                <w:sz w:val="24"/>
                <w:szCs w:val="24"/>
              </w:rPr>
              <w:t xml:space="preserve"> sustava, uz sprječavanje zlouporabe prikupljenih podataka;</w:t>
            </w:r>
          </w:p>
          <w:p w14:paraId="3EBDD82D" w14:textId="0A09D022" w:rsidR="00195750" w:rsidRPr="005C2C04" w:rsidRDefault="00195750" w:rsidP="005C2C04">
            <w:pPr>
              <w:numPr>
                <w:ilvl w:val="0"/>
                <w:numId w:val="13"/>
              </w:numPr>
              <w:ind w:left="720" w:hanging="360"/>
              <w:rPr>
                <w:rFonts w:ascii="Arial" w:hAnsi="Arial" w:cs="Arial"/>
                <w:sz w:val="24"/>
                <w:szCs w:val="24"/>
              </w:rPr>
            </w:pPr>
            <w:r w:rsidRPr="00EF1682">
              <w:rPr>
                <w:rFonts w:ascii="Arial" w:hAnsi="Arial" w:cs="Arial"/>
                <w:sz w:val="24"/>
                <w:szCs w:val="24"/>
              </w:rPr>
              <w:t>pozdravlja usklađivanje definicija povlaštenih informacija i manipulacije tržištem s pravilima financijskog tržišta. Osim toga, ističe važnost suradnje nacionalnih nadležnih tijela i nadležnih tijela na razini EU-a te naglašava potrebu za osiguravanjem primjerene i djelotvorne raspodjele dužnosti između nacionalnih regulatornih tijela i ACER-a;</w:t>
            </w:r>
          </w:p>
          <w:p w14:paraId="141B09BF" w14:textId="77777777" w:rsidR="00195750" w:rsidRPr="00EF1682" w:rsidRDefault="00195750" w:rsidP="00195750">
            <w:pPr>
              <w:numPr>
                <w:ilvl w:val="0"/>
                <w:numId w:val="13"/>
              </w:numPr>
              <w:ind w:left="720" w:hanging="360"/>
              <w:rPr>
                <w:rFonts w:ascii="Arial" w:hAnsi="Arial" w:cs="Arial"/>
                <w:sz w:val="24"/>
                <w:szCs w:val="24"/>
              </w:rPr>
            </w:pPr>
            <w:r w:rsidRPr="00EF1682">
              <w:rPr>
                <w:rFonts w:ascii="Arial" w:hAnsi="Arial" w:cs="Arial"/>
                <w:sz w:val="24"/>
                <w:szCs w:val="24"/>
              </w:rPr>
              <w:t>izražava veliko žaljenje zbog činjenice da prijedlozi koji se odnose na model energetskog tržišta nisu podvrgnuti sveobuhvatnom savjetovanju i procjeni učinka. Smatra da ne treba brzati s reformama i da su javne rasprave i procjene učinka vrijedni alati u postupku donošenja zakonodavstva. </w:t>
            </w:r>
          </w:p>
          <w:p w14:paraId="5F683677" w14:textId="77777777" w:rsidR="00540990" w:rsidRPr="00EF1682" w:rsidRDefault="00540990" w:rsidP="00D639EC">
            <w:pPr>
              <w:keepNext/>
              <w:keepLines/>
              <w:rPr>
                <w:rFonts w:ascii="Arial" w:hAnsi="Arial" w:cs="Arial"/>
                <w:b/>
                <w:bCs/>
                <w:sz w:val="24"/>
                <w:szCs w:val="24"/>
              </w:rPr>
            </w:pPr>
          </w:p>
        </w:tc>
      </w:tr>
      <w:tr w:rsidR="00540990" w:rsidRPr="00EF1682" w14:paraId="46A11985" w14:textId="77777777" w:rsidTr="00D639EC">
        <w:trPr>
          <w:cantSplit/>
        </w:trPr>
        <w:tc>
          <w:tcPr>
            <w:tcW w:w="3600" w:type="pct"/>
            <w:tcMar>
              <w:left w:w="108" w:type="dxa"/>
              <w:right w:w="108" w:type="dxa"/>
            </w:tcMar>
            <w:vAlign w:val="center"/>
          </w:tcPr>
          <w:p w14:paraId="423252EE" w14:textId="1B52F5DE" w:rsidR="00540990" w:rsidRPr="00EF1682" w:rsidRDefault="00540990" w:rsidP="00D639EC">
            <w:pPr>
              <w:rPr>
                <w:rFonts w:ascii="Arial" w:hAnsi="Arial" w:cs="Arial"/>
                <w:b/>
                <w:i/>
                <w:iCs/>
                <w:sz w:val="24"/>
                <w:szCs w:val="24"/>
              </w:rPr>
            </w:pPr>
            <w:r w:rsidRPr="00EF1682">
              <w:rPr>
                <w:rFonts w:ascii="Arial" w:hAnsi="Arial" w:cs="Arial"/>
                <w:b/>
                <w:i/>
                <w:iCs/>
                <w:sz w:val="24"/>
                <w:szCs w:val="24"/>
              </w:rPr>
              <w:t>TEN/793</w:t>
            </w:r>
            <w:r w:rsidR="00BF3CEC" w:rsidRPr="00EF1682">
              <w:rPr>
                <w:rFonts w:ascii="Arial" w:hAnsi="Arial" w:cs="Arial"/>
                <w:b/>
                <w:i/>
                <w:iCs/>
                <w:sz w:val="24"/>
                <w:szCs w:val="24"/>
              </w:rPr>
              <w:t xml:space="preserve"> - </w:t>
            </w:r>
            <w:r w:rsidRPr="00EF1682">
              <w:rPr>
                <w:rFonts w:ascii="Arial" w:hAnsi="Arial" w:cs="Arial"/>
                <w:b/>
                <w:i/>
                <w:iCs/>
                <w:sz w:val="24"/>
                <w:szCs w:val="24"/>
              </w:rPr>
              <w:t>Reforma tržišta električne energije</w:t>
            </w:r>
          </w:p>
          <w:p w14:paraId="3C8315E2" w14:textId="77777777" w:rsidR="00195750" w:rsidRPr="00EF1682" w:rsidRDefault="00195750" w:rsidP="00D639EC">
            <w:pPr>
              <w:rPr>
                <w:rFonts w:ascii="Arial" w:hAnsi="Arial" w:cs="Arial"/>
                <w:b/>
                <w:bCs/>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278"/>
            </w:tblGrid>
            <w:tr w:rsidR="00195750" w:rsidRPr="00EF1682" w14:paraId="1748B485" w14:textId="77777777" w:rsidTr="00D639EC">
              <w:tc>
                <w:tcPr>
                  <w:tcW w:w="2235" w:type="dxa"/>
                </w:tcPr>
                <w:p w14:paraId="366607FC" w14:textId="77777777" w:rsidR="00195750" w:rsidRPr="00EF1682" w:rsidRDefault="00195750" w:rsidP="00195750">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 xml:space="preserve">: </w:t>
                  </w:r>
                </w:p>
                <w:p w14:paraId="034D2278" w14:textId="77777777" w:rsidR="00195750" w:rsidRPr="00EF1682" w:rsidRDefault="00195750" w:rsidP="00195750">
                  <w:pPr>
                    <w:tabs>
                      <w:tab w:val="center" w:pos="284"/>
                    </w:tabs>
                    <w:ind w:left="266" w:hanging="266"/>
                    <w:rPr>
                      <w:rFonts w:ascii="Arial" w:hAnsi="Arial" w:cs="Arial"/>
                      <w:b/>
                      <w:sz w:val="24"/>
                      <w:szCs w:val="24"/>
                    </w:rPr>
                  </w:pPr>
                  <w:r w:rsidRPr="00EF1682">
                    <w:rPr>
                      <w:rFonts w:ascii="Arial" w:hAnsi="Arial" w:cs="Arial"/>
                      <w:b/>
                      <w:sz w:val="24"/>
                      <w:szCs w:val="24"/>
                    </w:rPr>
                    <w:t>Suizvjestitelj/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5278" w:type="dxa"/>
                </w:tcPr>
                <w:p w14:paraId="413019DB" w14:textId="77777777" w:rsidR="00195750" w:rsidRPr="00EF1682" w:rsidRDefault="00195750" w:rsidP="00195750">
                  <w:pPr>
                    <w:tabs>
                      <w:tab w:val="center" w:pos="284"/>
                    </w:tabs>
                    <w:ind w:left="266" w:hanging="266"/>
                    <w:rPr>
                      <w:rFonts w:ascii="Arial" w:hAnsi="Arial" w:cs="Arial"/>
                      <w:sz w:val="24"/>
                      <w:szCs w:val="24"/>
                    </w:rPr>
                  </w:pPr>
                  <w:r w:rsidRPr="00EF1682">
                    <w:rPr>
                      <w:rFonts w:ascii="Arial" w:hAnsi="Arial" w:cs="Arial"/>
                      <w:sz w:val="24"/>
                      <w:szCs w:val="24"/>
                    </w:rPr>
                    <w:t>Jan DIRX (Raznolikost Europe – GR III / Nizozemska)</w:t>
                  </w:r>
                </w:p>
                <w:p w14:paraId="6D5CAC3E" w14:textId="77777777" w:rsidR="00195750" w:rsidRPr="00EF1682" w:rsidRDefault="00195750" w:rsidP="00195750">
                  <w:pPr>
                    <w:tabs>
                      <w:tab w:val="center" w:pos="0"/>
                    </w:tabs>
                    <w:rPr>
                      <w:rFonts w:ascii="Arial" w:hAnsi="Arial" w:cs="Arial"/>
                      <w:sz w:val="24"/>
                      <w:szCs w:val="24"/>
                    </w:rPr>
                  </w:pPr>
                  <w:hyperlink r:id="rId11" w:tgtFrame="_blank" w:tooltip="Christophe QUAREZ – Poveznica se otvara u novom prozoru" w:history="1">
                    <w:r w:rsidRPr="00EF1682">
                      <w:rPr>
                        <w:rFonts w:ascii="Arial" w:hAnsi="Arial" w:cs="Arial"/>
                        <w:sz w:val="24"/>
                        <w:szCs w:val="24"/>
                      </w:rPr>
                      <w:t>Christophe QUAREZ</w:t>
                    </w:r>
                  </w:hyperlink>
                  <w:r w:rsidRPr="00EF1682">
                    <w:rPr>
                      <w:rFonts w:ascii="Arial" w:hAnsi="Arial" w:cs="Arial"/>
                      <w:sz w:val="24"/>
                      <w:szCs w:val="24"/>
                    </w:rPr>
                    <w:t xml:space="preserve"> (Skupina radnika – GR II / Francuska)</w:t>
                  </w:r>
                </w:p>
              </w:tc>
            </w:tr>
            <w:tr w:rsidR="00195750" w:rsidRPr="00EF1682" w14:paraId="129F637C" w14:textId="77777777" w:rsidTr="00D639EC">
              <w:tc>
                <w:tcPr>
                  <w:tcW w:w="7513" w:type="dxa"/>
                  <w:gridSpan w:val="2"/>
                </w:tcPr>
                <w:p w14:paraId="5B421EAB" w14:textId="77777777" w:rsidR="00195750" w:rsidRPr="00EF1682" w:rsidRDefault="00195750" w:rsidP="00195750">
                  <w:pPr>
                    <w:tabs>
                      <w:tab w:val="center" w:pos="284"/>
                    </w:tabs>
                    <w:spacing w:line="160" w:lineRule="exact"/>
                    <w:ind w:left="266" w:hanging="266"/>
                    <w:rPr>
                      <w:rFonts w:ascii="Arial" w:hAnsi="Arial" w:cs="Arial"/>
                      <w:sz w:val="24"/>
                      <w:szCs w:val="24"/>
                    </w:rPr>
                  </w:pPr>
                </w:p>
              </w:tc>
            </w:tr>
            <w:tr w:rsidR="00195750" w:rsidRPr="00EF1682" w14:paraId="35552AE1" w14:textId="77777777" w:rsidTr="00D639EC">
              <w:tc>
                <w:tcPr>
                  <w:tcW w:w="2235" w:type="dxa"/>
                  <w:vMerge w:val="restart"/>
                </w:tcPr>
                <w:p w14:paraId="07B84BF7" w14:textId="77777777" w:rsidR="00195750" w:rsidRPr="00EF1682" w:rsidRDefault="00195750" w:rsidP="00195750">
                  <w:pPr>
                    <w:tabs>
                      <w:tab w:val="center" w:pos="0"/>
                    </w:tabs>
                    <w:rPr>
                      <w:rFonts w:ascii="Arial" w:hAnsi="Arial" w:cs="Arial"/>
                      <w:b/>
                      <w:sz w:val="24"/>
                      <w:szCs w:val="24"/>
                    </w:rPr>
                  </w:pPr>
                  <w:r w:rsidRPr="00EF1682">
                    <w:rPr>
                      <w:rFonts w:ascii="Arial" w:hAnsi="Arial" w:cs="Arial"/>
                      <w:b/>
                      <w:sz w:val="24"/>
                      <w:szCs w:val="24"/>
                    </w:rPr>
                    <w:t>Referentni dokument/i:</w:t>
                  </w:r>
                </w:p>
              </w:tc>
              <w:tc>
                <w:tcPr>
                  <w:tcW w:w="5278" w:type="dxa"/>
                </w:tcPr>
                <w:p w14:paraId="4446F3E2" w14:textId="77777777" w:rsidR="00195750" w:rsidRPr="00EF1682" w:rsidRDefault="00195750" w:rsidP="00195750">
                  <w:pPr>
                    <w:tabs>
                      <w:tab w:val="center" w:pos="284"/>
                    </w:tabs>
                    <w:ind w:left="266" w:hanging="266"/>
                    <w:rPr>
                      <w:rFonts w:ascii="Arial" w:hAnsi="Arial" w:cs="Arial"/>
                      <w:sz w:val="24"/>
                      <w:szCs w:val="24"/>
                    </w:rPr>
                  </w:pPr>
                  <w:r w:rsidRPr="00EF1682">
                    <w:rPr>
                      <w:rFonts w:ascii="Arial" w:hAnsi="Arial" w:cs="Arial"/>
                      <w:sz w:val="24"/>
                      <w:szCs w:val="24"/>
                    </w:rPr>
                    <w:t xml:space="preserve">COM(2023) 148 </w:t>
                  </w:r>
                  <w:proofErr w:type="spellStart"/>
                  <w:r w:rsidRPr="00EF1682">
                    <w:rPr>
                      <w:rFonts w:ascii="Arial" w:hAnsi="Arial" w:cs="Arial"/>
                      <w:sz w:val="24"/>
                      <w:szCs w:val="24"/>
                    </w:rPr>
                    <w:t>final</w:t>
                  </w:r>
                  <w:proofErr w:type="spellEnd"/>
                </w:p>
                <w:p w14:paraId="710704EF" w14:textId="77777777" w:rsidR="00195750" w:rsidRPr="00EF1682" w:rsidRDefault="00195750" w:rsidP="00195750">
                  <w:pPr>
                    <w:tabs>
                      <w:tab w:val="center" w:pos="284"/>
                    </w:tabs>
                    <w:ind w:left="266" w:hanging="266"/>
                    <w:rPr>
                      <w:rFonts w:ascii="Arial" w:hAnsi="Arial" w:cs="Arial"/>
                      <w:sz w:val="24"/>
                      <w:szCs w:val="24"/>
                    </w:rPr>
                  </w:pPr>
                  <w:r w:rsidRPr="00EF1682">
                    <w:rPr>
                      <w:rFonts w:ascii="Arial" w:hAnsi="Arial" w:cs="Arial"/>
                      <w:sz w:val="24"/>
                      <w:szCs w:val="24"/>
                    </w:rPr>
                    <w:t>EESC-2023-01739-00-00-AS-TRA</w:t>
                  </w:r>
                </w:p>
              </w:tc>
            </w:tr>
            <w:tr w:rsidR="00195750" w:rsidRPr="00EF1682" w14:paraId="150D89C1" w14:textId="77777777" w:rsidTr="00D639EC">
              <w:tc>
                <w:tcPr>
                  <w:tcW w:w="2235" w:type="dxa"/>
                  <w:vMerge/>
                </w:tcPr>
                <w:p w14:paraId="1F5ABC80" w14:textId="77777777" w:rsidR="00195750" w:rsidRPr="00EF1682" w:rsidRDefault="00195750" w:rsidP="00195750">
                  <w:pPr>
                    <w:tabs>
                      <w:tab w:val="center" w:pos="284"/>
                    </w:tabs>
                    <w:ind w:left="266" w:hanging="266"/>
                    <w:rPr>
                      <w:rFonts w:ascii="Arial" w:hAnsi="Arial" w:cs="Arial"/>
                      <w:b/>
                      <w:sz w:val="24"/>
                      <w:szCs w:val="24"/>
                    </w:rPr>
                  </w:pPr>
                </w:p>
              </w:tc>
              <w:tc>
                <w:tcPr>
                  <w:tcW w:w="5278" w:type="dxa"/>
                </w:tcPr>
                <w:p w14:paraId="76FE4E44" w14:textId="77777777" w:rsidR="00195750" w:rsidRPr="00EF1682" w:rsidRDefault="00195750" w:rsidP="00195750">
                  <w:pPr>
                    <w:tabs>
                      <w:tab w:val="center" w:pos="284"/>
                    </w:tabs>
                    <w:ind w:left="266" w:hanging="266"/>
                    <w:rPr>
                      <w:rFonts w:ascii="Arial" w:hAnsi="Arial" w:cs="Arial"/>
                      <w:sz w:val="24"/>
                      <w:szCs w:val="24"/>
                    </w:rPr>
                  </w:pPr>
                </w:p>
              </w:tc>
            </w:tr>
          </w:tbl>
          <w:p w14:paraId="436A7F1D" w14:textId="77777777" w:rsidR="00195750" w:rsidRPr="00EF1682" w:rsidRDefault="00195750" w:rsidP="00456E90">
            <w:pPr>
              <w:keepNext/>
              <w:keepLines/>
              <w:tabs>
                <w:tab w:val="center" w:pos="284"/>
              </w:tabs>
              <w:rPr>
                <w:rFonts w:ascii="Arial" w:hAnsi="Arial" w:cs="Arial"/>
                <w:b/>
                <w:sz w:val="24"/>
                <w:szCs w:val="24"/>
              </w:rPr>
            </w:pPr>
          </w:p>
          <w:p w14:paraId="4DA86FBA" w14:textId="0BEB4EAE" w:rsidR="00195750" w:rsidRPr="00EF1682" w:rsidRDefault="00195750" w:rsidP="00195750">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2972FF9A" w14:textId="5D3618F0" w:rsidR="00195750" w:rsidRPr="00EF1682" w:rsidRDefault="00195750" w:rsidP="00195750">
            <w:pPr>
              <w:rPr>
                <w:rFonts w:ascii="Arial" w:hAnsi="Arial" w:cs="Arial"/>
                <w:bCs/>
                <w:iCs/>
                <w:sz w:val="24"/>
                <w:szCs w:val="24"/>
              </w:rPr>
            </w:pPr>
            <w:r w:rsidRPr="00EF1682">
              <w:rPr>
                <w:rFonts w:ascii="Arial" w:hAnsi="Arial" w:cs="Arial"/>
                <w:sz w:val="24"/>
                <w:szCs w:val="24"/>
              </w:rPr>
              <w:t>EGSO:</w:t>
            </w:r>
          </w:p>
          <w:p w14:paraId="7C1641AB" w14:textId="6C6B924B" w:rsidR="00195750" w:rsidRPr="0015792A" w:rsidRDefault="00195750" w:rsidP="00195750">
            <w:pPr>
              <w:numPr>
                <w:ilvl w:val="0"/>
                <w:numId w:val="4"/>
              </w:numPr>
              <w:rPr>
                <w:rFonts w:ascii="Arial" w:hAnsi="Arial" w:cs="Arial"/>
                <w:sz w:val="24"/>
                <w:szCs w:val="24"/>
              </w:rPr>
            </w:pPr>
            <w:r w:rsidRPr="00EF1682">
              <w:rPr>
                <w:rFonts w:ascii="Arial" w:hAnsi="Arial" w:cs="Arial"/>
                <w:sz w:val="24"/>
                <w:szCs w:val="24"/>
              </w:rPr>
              <w:t>smatra da se energija, uključujući i infrastrukturu za njezin prijenos i distribuciju, ne može tretirati kao svaka druga roba: ona je ključna sastavnica našeg gospodarskog i socijalnog sustava, a time čini središnji dio pružanja javnih usluga. Zbog toga se opskrba energijom smatra uslugom od općeg interesa</w:t>
            </w:r>
            <w:r w:rsidR="00456E90">
              <w:rPr>
                <w:rFonts w:ascii="Arial" w:hAnsi="Arial" w:cs="Arial"/>
                <w:sz w:val="24"/>
                <w:szCs w:val="24"/>
              </w:rPr>
              <w:t>,</w:t>
            </w:r>
            <w:r w:rsidRPr="00EF1682">
              <w:rPr>
                <w:rFonts w:ascii="Arial" w:hAnsi="Arial" w:cs="Arial"/>
                <w:sz w:val="24"/>
                <w:szCs w:val="24"/>
              </w:rPr>
              <w:t xml:space="preserve"> pa je za buduću energiju potrebno stvoriti regulatorne okvirne uvjete koji jamče ekološki prihvatljivu, cjenovno pristupačnu i pouzdanu opskrbu energijom kao i pravo na energiju. To također znači da se pri osmišljavanju modela energetskog tržišta moraju uzeti u obzir zahtjevi povezani s </w:t>
            </w:r>
            <w:proofErr w:type="spellStart"/>
            <w:r w:rsidRPr="00EF1682">
              <w:rPr>
                <w:rFonts w:ascii="Arial" w:hAnsi="Arial" w:cs="Arial"/>
                <w:sz w:val="24"/>
                <w:szCs w:val="24"/>
              </w:rPr>
              <w:t>dekarbonizacijom</w:t>
            </w:r>
            <w:proofErr w:type="spellEnd"/>
            <w:r w:rsidRPr="00EF1682">
              <w:rPr>
                <w:rFonts w:ascii="Arial" w:hAnsi="Arial" w:cs="Arial"/>
                <w:sz w:val="24"/>
                <w:szCs w:val="24"/>
              </w:rPr>
              <w:t>. Kako bi se osigurala pristupačna osnovna opskrba energijom, EGSO smatra da novi model tržišta mora jamčiti osnovnu opskrbu energijom po reguliranim cijenama;</w:t>
            </w:r>
          </w:p>
          <w:p w14:paraId="0AC833F9" w14:textId="2F122BBB" w:rsidR="00195750" w:rsidRPr="0015792A" w:rsidRDefault="00195750" w:rsidP="00195750">
            <w:pPr>
              <w:numPr>
                <w:ilvl w:val="0"/>
                <w:numId w:val="4"/>
              </w:numPr>
              <w:rPr>
                <w:rFonts w:ascii="Arial" w:hAnsi="Arial" w:cs="Arial"/>
                <w:sz w:val="24"/>
                <w:szCs w:val="24"/>
              </w:rPr>
            </w:pPr>
            <w:r w:rsidRPr="00EF1682">
              <w:rPr>
                <w:rFonts w:ascii="Arial" w:hAnsi="Arial" w:cs="Arial"/>
                <w:sz w:val="24"/>
                <w:szCs w:val="24"/>
              </w:rPr>
              <w:t>ističe da u okviru reforme tržišta električne energije liberalizaciju treba kritički razmotriti s obzirom na održivost i cjenovnu pristupačnost električne energije i sigurnost opskrbe. To ne smijemo smetnuti s uma jer trenutačna kriza pokazuje da liberalizirana energetska tržišta ne mogu zadovoljiti te potrebe i ne stvaraju dovoljno poticaja i dovoljnu sigurnost ulaganja u obnovljivu energiju. Osim toga, za ostvarivanje navedenih triju ciljeva (održivost, cjenovna pristupačnost i sigurnost opskrbe) na dugi rok odgovornost će snositi vlade jer ih tržište neće spontano kombinirati i ostvariti;</w:t>
            </w:r>
          </w:p>
          <w:p w14:paraId="3D7E9A85" w14:textId="77777777" w:rsidR="00195750" w:rsidRPr="00EF1682" w:rsidRDefault="00195750" w:rsidP="00195750">
            <w:pPr>
              <w:numPr>
                <w:ilvl w:val="0"/>
                <w:numId w:val="4"/>
              </w:numPr>
              <w:rPr>
                <w:rFonts w:ascii="Arial" w:hAnsi="Arial" w:cs="Arial"/>
                <w:sz w:val="24"/>
                <w:szCs w:val="24"/>
              </w:rPr>
            </w:pPr>
            <w:r w:rsidRPr="00EF1682">
              <w:rPr>
                <w:rFonts w:ascii="Arial" w:hAnsi="Arial" w:cs="Arial"/>
                <w:sz w:val="24"/>
                <w:szCs w:val="24"/>
              </w:rPr>
              <w:t>zalaže se za hibridni model u kojem tržišne sile i upravljanje usmjereno na ciljeve zajedno vode do optimalnog funkcioniranja tržišta u okviru utvrđenih ciljeva. U središtu tog modela bio bi „E-mehanizam” koji bi uspostavile vlade, a koji bi električnu energiju kupovao od proizvođača i prodavao je opskrbljivačima kućanstava, MSP-ovima, energetskim zajednicama građana i velikim potrošačima, a po potrebi i kad je to moguće drugim zemljama, pri čemu bi se kao okvir za donošenje odluka u vidu imala bi navedena tri cilja. Mehanizam bi sklapao dugoročne ugovore s proizvođačima električne energije na temelju natječaja. Ti bi ugovori bili različitih vrsta, na primjer ugovori o kupnji električne energije, ugovori za razlike i ugovori o dodatnim troškovima.</w:t>
            </w:r>
          </w:p>
          <w:p w14:paraId="323C193D" w14:textId="77777777" w:rsidR="00540990" w:rsidRPr="00EF1682" w:rsidRDefault="00540990" w:rsidP="00D639EC">
            <w:pPr>
              <w:keepNext/>
              <w:keepLines/>
              <w:rPr>
                <w:rFonts w:ascii="Arial" w:hAnsi="Arial" w:cs="Arial"/>
                <w:sz w:val="24"/>
                <w:szCs w:val="24"/>
              </w:rPr>
            </w:pPr>
          </w:p>
        </w:tc>
      </w:tr>
      <w:tr w:rsidR="00540990" w:rsidRPr="00EF1682" w14:paraId="23F1CFD6" w14:textId="77777777" w:rsidTr="00D639EC">
        <w:trPr>
          <w:cantSplit/>
        </w:trPr>
        <w:tc>
          <w:tcPr>
            <w:tcW w:w="3600" w:type="pct"/>
            <w:tcMar>
              <w:left w:w="108" w:type="dxa"/>
              <w:right w:w="108" w:type="dxa"/>
            </w:tcMar>
            <w:vAlign w:val="center"/>
          </w:tcPr>
          <w:p w14:paraId="5C41745C" w14:textId="29767255" w:rsidR="00540990" w:rsidRPr="00EF1682" w:rsidRDefault="00540990" w:rsidP="00D639EC">
            <w:pPr>
              <w:keepNext/>
              <w:keepLines/>
              <w:rPr>
                <w:rFonts w:ascii="Arial" w:hAnsi="Arial" w:cs="Arial"/>
                <w:i/>
                <w:iCs/>
                <w:sz w:val="24"/>
                <w:szCs w:val="24"/>
              </w:rPr>
            </w:pPr>
            <w:r w:rsidRPr="00EF1682">
              <w:rPr>
                <w:rFonts w:ascii="Arial" w:hAnsi="Arial" w:cs="Arial"/>
                <w:b/>
                <w:i/>
                <w:iCs/>
                <w:sz w:val="24"/>
                <w:szCs w:val="24"/>
              </w:rPr>
              <w:t>TEN/805</w:t>
            </w:r>
            <w:r w:rsidR="00BF3CEC" w:rsidRPr="00EF1682">
              <w:rPr>
                <w:rFonts w:ascii="Arial" w:hAnsi="Arial" w:cs="Arial"/>
                <w:b/>
                <w:i/>
                <w:iCs/>
                <w:sz w:val="24"/>
                <w:szCs w:val="24"/>
              </w:rPr>
              <w:t xml:space="preserve"> - </w:t>
            </w:r>
            <w:r w:rsidRPr="00EF1682">
              <w:rPr>
                <w:rFonts w:ascii="Arial" w:hAnsi="Arial" w:cs="Arial"/>
                <w:b/>
                <w:i/>
                <w:iCs/>
                <w:sz w:val="24"/>
                <w:szCs w:val="24"/>
              </w:rPr>
              <w:t>Europska banka za vodik</w:t>
            </w:r>
          </w:p>
          <w:p w14:paraId="012A8C1C" w14:textId="77777777" w:rsidR="00BF3CEC" w:rsidRPr="00EF1682" w:rsidRDefault="00BF3CEC" w:rsidP="00D639EC">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278"/>
            </w:tblGrid>
            <w:tr w:rsidR="00BF3CEC" w:rsidRPr="00EF1682" w14:paraId="2351E7ED" w14:textId="77777777" w:rsidTr="00D639EC">
              <w:tc>
                <w:tcPr>
                  <w:tcW w:w="2235" w:type="dxa"/>
                </w:tcPr>
                <w:p w14:paraId="47E5698C" w14:textId="77777777" w:rsidR="00BF3CEC" w:rsidRPr="00EF1682" w:rsidRDefault="00BF3CEC" w:rsidP="00BF3CEC">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 xml:space="preserve">: </w:t>
                  </w:r>
                </w:p>
              </w:tc>
              <w:tc>
                <w:tcPr>
                  <w:tcW w:w="5278" w:type="dxa"/>
                </w:tcPr>
                <w:p w14:paraId="470EF175" w14:textId="77777777" w:rsidR="00BF3CEC" w:rsidRPr="00EF1682" w:rsidRDefault="00BF3CEC" w:rsidP="00BF3CEC">
                  <w:pPr>
                    <w:tabs>
                      <w:tab w:val="center" w:pos="284"/>
                    </w:tabs>
                    <w:ind w:left="266" w:hanging="266"/>
                    <w:rPr>
                      <w:rFonts w:ascii="Arial" w:hAnsi="Arial" w:cs="Arial"/>
                      <w:sz w:val="24"/>
                      <w:szCs w:val="24"/>
                    </w:rPr>
                  </w:pPr>
                  <w:r w:rsidRPr="00EF1682">
                    <w:rPr>
                      <w:rFonts w:ascii="Arial" w:hAnsi="Arial" w:cs="Arial"/>
                      <w:sz w:val="24"/>
                      <w:szCs w:val="24"/>
                    </w:rPr>
                    <w:t>Thomas KATTNIG (Skupina radnika – II. / Austrija)</w:t>
                  </w:r>
                </w:p>
              </w:tc>
            </w:tr>
            <w:tr w:rsidR="00BF3CEC" w:rsidRPr="00EF1682" w14:paraId="344A7DCB" w14:textId="77777777" w:rsidTr="00D639EC">
              <w:tc>
                <w:tcPr>
                  <w:tcW w:w="7513" w:type="dxa"/>
                  <w:gridSpan w:val="2"/>
                </w:tcPr>
                <w:p w14:paraId="183B4172" w14:textId="77777777" w:rsidR="00BF3CEC" w:rsidRPr="00EF1682" w:rsidRDefault="00BF3CEC" w:rsidP="00BF3CEC">
                  <w:pPr>
                    <w:tabs>
                      <w:tab w:val="center" w:pos="284"/>
                    </w:tabs>
                    <w:spacing w:line="160" w:lineRule="exact"/>
                    <w:ind w:left="266" w:hanging="266"/>
                    <w:rPr>
                      <w:rFonts w:ascii="Arial" w:hAnsi="Arial" w:cs="Arial"/>
                      <w:sz w:val="24"/>
                      <w:szCs w:val="24"/>
                      <w:lang w:val="en-US"/>
                    </w:rPr>
                  </w:pPr>
                </w:p>
              </w:tc>
            </w:tr>
            <w:tr w:rsidR="00BF3CEC" w:rsidRPr="00EF1682" w14:paraId="10FC988D" w14:textId="77777777" w:rsidTr="00D639EC">
              <w:tc>
                <w:tcPr>
                  <w:tcW w:w="2235" w:type="dxa"/>
                  <w:vMerge w:val="restart"/>
                </w:tcPr>
                <w:p w14:paraId="28C8A43F" w14:textId="77777777" w:rsidR="00BF3CEC" w:rsidRPr="00EF1682" w:rsidRDefault="00BF3CEC" w:rsidP="00BF3CEC">
                  <w:pPr>
                    <w:tabs>
                      <w:tab w:val="center" w:pos="284"/>
                    </w:tabs>
                    <w:ind w:left="266" w:hanging="266"/>
                    <w:rPr>
                      <w:rFonts w:ascii="Arial" w:hAnsi="Arial" w:cs="Arial"/>
                      <w:b/>
                      <w:sz w:val="24"/>
                      <w:szCs w:val="24"/>
                    </w:rPr>
                  </w:pPr>
                  <w:r w:rsidRPr="00EF1682">
                    <w:rPr>
                      <w:rFonts w:ascii="Arial" w:hAnsi="Arial" w:cs="Arial"/>
                      <w:b/>
                      <w:sz w:val="24"/>
                      <w:szCs w:val="24"/>
                    </w:rPr>
                    <w:t>Referentni dokument/i:</w:t>
                  </w:r>
                </w:p>
              </w:tc>
              <w:tc>
                <w:tcPr>
                  <w:tcW w:w="5278" w:type="dxa"/>
                </w:tcPr>
                <w:p w14:paraId="3451D403" w14:textId="77777777" w:rsidR="00BF3CEC" w:rsidRPr="00EF1682" w:rsidRDefault="00BF3CEC" w:rsidP="00BF3CEC">
                  <w:pPr>
                    <w:tabs>
                      <w:tab w:val="center" w:pos="284"/>
                    </w:tabs>
                    <w:ind w:left="266" w:hanging="266"/>
                    <w:rPr>
                      <w:rFonts w:ascii="Arial" w:hAnsi="Arial" w:cs="Arial"/>
                      <w:sz w:val="24"/>
                      <w:szCs w:val="24"/>
                    </w:rPr>
                  </w:pPr>
                  <w:r w:rsidRPr="00EF1682">
                    <w:rPr>
                      <w:rFonts w:ascii="Arial" w:hAnsi="Arial" w:cs="Arial"/>
                      <w:sz w:val="24"/>
                      <w:szCs w:val="24"/>
                    </w:rPr>
                    <w:t xml:space="preserve">COM(2023) 156 </w:t>
                  </w:r>
                  <w:proofErr w:type="spellStart"/>
                  <w:r w:rsidRPr="00EF1682">
                    <w:rPr>
                      <w:rFonts w:ascii="Arial" w:hAnsi="Arial" w:cs="Arial"/>
                      <w:sz w:val="24"/>
                      <w:szCs w:val="24"/>
                    </w:rPr>
                    <w:t>final</w:t>
                  </w:r>
                  <w:proofErr w:type="spellEnd"/>
                </w:p>
                <w:p w14:paraId="423F49BC" w14:textId="77777777" w:rsidR="00BF3CEC" w:rsidRPr="00EF1682" w:rsidRDefault="00BF3CEC" w:rsidP="00BF3CEC">
                  <w:pPr>
                    <w:tabs>
                      <w:tab w:val="center" w:pos="284"/>
                    </w:tabs>
                    <w:ind w:left="266" w:hanging="266"/>
                    <w:rPr>
                      <w:rFonts w:ascii="Arial" w:hAnsi="Arial" w:cs="Arial"/>
                      <w:sz w:val="24"/>
                      <w:szCs w:val="24"/>
                    </w:rPr>
                  </w:pPr>
                  <w:r w:rsidRPr="00EF1682">
                    <w:rPr>
                      <w:rFonts w:ascii="Arial" w:hAnsi="Arial" w:cs="Arial"/>
                      <w:sz w:val="24"/>
                      <w:szCs w:val="24"/>
                    </w:rPr>
                    <w:t>EESC-2023-00754-00-00-AS-TRA</w:t>
                  </w:r>
                </w:p>
              </w:tc>
            </w:tr>
            <w:tr w:rsidR="00BF3CEC" w:rsidRPr="00EF1682" w14:paraId="382FACC9" w14:textId="77777777" w:rsidTr="00D639EC">
              <w:trPr>
                <w:gridAfter w:val="1"/>
                <w:wAfter w:w="5278" w:type="dxa"/>
                <w:trHeight w:val="331"/>
              </w:trPr>
              <w:tc>
                <w:tcPr>
                  <w:tcW w:w="2235" w:type="dxa"/>
                  <w:vMerge/>
                </w:tcPr>
                <w:p w14:paraId="4575183D" w14:textId="77777777" w:rsidR="00BF3CEC" w:rsidRPr="00EF1682" w:rsidRDefault="00BF3CEC" w:rsidP="00BF3CEC">
                  <w:pPr>
                    <w:tabs>
                      <w:tab w:val="center" w:pos="284"/>
                    </w:tabs>
                    <w:ind w:left="266" w:hanging="266"/>
                    <w:rPr>
                      <w:rFonts w:ascii="Arial" w:hAnsi="Arial" w:cs="Arial"/>
                      <w:b/>
                      <w:sz w:val="24"/>
                      <w:szCs w:val="24"/>
                      <w:lang w:val="en-US"/>
                    </w:rPr>
                  </w:pPr>
                </w:p>
              </w:tc>
            </w:tr>
          </w:tbl>
          <w:p w14:paraId="7AD39252" w14:textId="2224EFBD" w:rsidR="00BF3CEC" w:rsidRPr="00EF1682" w:rsidRDefault="00BF3CEC" w:rsidP="00BF3CEC">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423A6A63" w14:textId="7E0DDA7B" w:rsidR="00BF3CEC" w:rsidRPr="00EF1682" w:rsidRDefault="00BF3CEC" w:rsidP="00BF3CEC">
            <w:pPr>
              <w:rPr>
                <w:rFonts w:ascii="Arial" w:hAnsi="Arial" w:cs="Arial"/>
                <w:bCs/>
                <w:iCs/>
                <w:sz w:val="24"/>
                <w:szCs w:val="24"/>
              </w:rPr>
            </w:pPr>
            <w:r w:rsidRPr="00EF1682">
              <w:rPr>
                <w:rFonts w:ascii="Arial" w:hAnsi="Arial" w:cs="Arial"/>
                <w:sz w:val="24"/>
                <w:szCs w:val="24"/>
              </w:rPr>
              <w:t>EGSO:</w:t>
            </w:r>
          </w:p>
          <w:p w14:paraId="56102D62" w14:textId="77777777" w:rsidR="00BF3CEC" w:rsidRPr="00EF1682" w:rsidRDefault="00BF3CEC" w:rsidP="00BF3CEC">
            <w:pPr>
              <w:pStyle w:val="ListParagraph"/>
              <w:widowControl/>
              <w:numPr>
                <w:ilvl w:val="0"/>
                <w:numId w:val="4"/>
              </w:numPr>
              <w:autoSpaceDE/>
              <w:autoSpaceDN/>
              <w:adjustRightInd/>
              <w:spacing w:line="288" w:lineRule="auto"/>
              <w:ind w:left="567" w:hanging="283"/>
              <w:jc w:val="both"/>
              <w:rPr>
                <w:sz w:val="24"/>
                <w:szCs w:val="24"/>
              </w:rPr>
            </w:pPr>
            <w:r w:rsidRPr="00EF1682">
              <w:rPr>
                <w:sz w:val="24"/>
                <w:szCs w:val="24"/>
              </w:rPr>
              <w:t>pozdravlja ideju Komisije o osnivanju europske banke vodika, čime bi se stvorili poticaji za stvaranje tržišta vodika, i naglašava da se fosilna goriva ne smiju subvencionirati sredstvima EU-a. Stoga se načelo „</w:t>
            </w:r>
            <w:proofErr w:type="spellStart"/>
            <w:r w:rsidRPr="00EF1682">
              <w:rPr>
                <w:sz w:val="24"/>
                <w:szCs w:val="24"/>
              </w:rPr>
              <w:t>nenanošenja</w:t>
            </w:r>
            <w:proofErr w:type="spellEnd"/>
            <w:r w:rsidRPr="00EF1682">
              <w:rPr>
                <w:sz w:val="24"/>
                <w:szCs w:val="24"/>
              </w:rPr>
              <w:t xml:space="preserve"> štete” mora primjenjivati i na sredstva povezana s europskom bankom za vodik: vodik se mora financirati sredstvima EU-a samo ako upotrijebljena električna energija dolazi iz izvora koji su u skladu s Uredbom o taksonomiji i za koje se smatra da znatno doprinose smanjenju emisija CO</w:t>
            </w:r>
            <w:r w:rsidRPr="00EF1682">
              <w:rPr>
                <w:sz w:val="24"/>
                <w:szCs w:val="24"/>
                <w:vertAlign w:val="subscript"/>
              </w:rPr>
              <w:t>2</w:t>
            </w:r>
            <w:r w:rsidRPr="00EF1682">
              <w:rPr>
                <w:sz w:val="24"/>
                <w:szCs w:val="24"/>
              </w:rPr>
              <w:t>;</w:t>
            </w:r>
          </w:p>
          <w:p w14:paraId="45A9E523" w14:textId="77777777" w:rsidR="00BF3CEC" w:rsidRPr="00EF1682" w:rsidRDefault="00BF3CEC" w:rsidP="00BF3CEC">
            <w:pPr>
              <w:pStyle w:val="ListParagraph"/>
              <w:widowControl/>
              <w:numPr>
                <w:ilvl w:val="0"/>
                <w:numId w:val="4"/>
              </w:numPr>
              <w:autoSpaceDE/>
              <w:autoSpaceDN/>
              <w:adjustRightInd/>
              <w:spacing w:line="288" w:lineRule="auto"/>
              <w:ind w:left="567" w:hanging="283"/>
              <w:jc w:val="both"/>
              <w:rPr>
                <w:sz w:val="24"/>
                <w:szCs w:val="24"/>
              </w:rPr>
            </w:pPr>
            <w:r w:rsidRPr="00EF1682">
              <w:rPr>
                <w:sz w:val="24"/>
                <w:szCs w:val="24"/>
              </w:rPr>
              <w:t>protivi se upotrebi (neobnovljivih) izvora energije iz europskih elektroenergetskih mreža za energetski intenzivne procese elektrolize jer se time povećava ukupna potražnja za energijom. Naglašava da upotrebu vodika treba promicati samo u vezi s razvojem obnovljivih izvora energije i da ga treba upotrebljavati samo kad nije moguća izravna elektrifikacija;</w:t>
            </w:r>
          </w:p>
          <w:p w14:paraId="393BD84A" w14:textId="22360606" w:rsidR="00BF3CEC" w:rsidRPr="0015792A" w:rsidRDefault="00BF3CEC" w:rsidP="00D639EC">
            <w:pPr>
              <w:pStyle w:val="ListParagraph"/>
              <w:widowControl/>
              <w:numPr>
                <w:ilvl w:val="0"/>
                <w:numId w:val="4"/>
              </w:numPr>
              <w:autoSpaceDE/>
              <w:autoSpaceDN/>
              <w:adjustRightInd/>
              <w:spacing w:line="288" w:lineRule="auto"/>
              <w:ind w:left="567" w:hanging="283"/>
              <w:jc w:val="both"/>
              <w:rPr>
                <w:sz w:val="24"/>
                <w:szCs w:val="24"/>
              </w:rPr>
            </w:pPr>
            <w:r w:rsidRPr="00EF1682">
              <w:rPr>
                <w:sz w:val="24"/>
                <w:szCs w:val="24"/>
              </w:rPr>
              <w:t>smatra da troškovna učinkovitost projekata kojima treba pružiti potporu ne bi smjela biti jedini čimbenik koji se uzima u obzir pri sastavljanju smjernica za dodjelu sredstava iz europske banke za vodik. Umjesto toga, trebalo bi uključiti niz dodatnih kriterija kvalitete, uključujući standarde okolišne i socijalne održivosti, posebno odredbe o prevladavajućim plaćama, razvoju radne snage i naukovanju kako bi se osiguralo da veći i raznolikiji skup kvalificiranih radnika ima pristup dobrim radnim mjestima i da radnici posjeduju vještine potrebne za postizanje ciljeva u pogledu čiste energije.</w:t>
            </w:r>
          </w:p>
          <w:p w14:paraId="5C5780B7" w14:textId="77777777" w:rsidR="00540990" w:rsidRPr="00EF1682" w:rsidRDefault="00540990" w:rsidP="00D639EC">
            <w:pPr>
              <w:rPr>
                <w:rFonts w:ascii="Arial" w:hAnsi="Arial" w:cs="Arial"/>
                <w:b/>
                <w:bCs/>
                <w:sz w:val="24"/>
                <w:szCs w:val="24"/>
              </w:rPr>
            </w:pPr>
          </w:p>
        </w:tc>
      </w:tr>
    </w:tbl>
    <w:p w14:paraId="5F9247BD" w14:textId="77777777" w:rsidR="00540990" w:rsidRPr="00EF1682" w:rsidRDefault="00540990" w:rsidP="002E66B3">
      <w:pPr>
        <w:rPr>
          <w:rFonts w:ascii="Arial" w:hAnsi="Arial" w:cs="Arial"/>
          <w:sz w:val="24"/>
          <w:szCs w:val="24"/>
        </w:rPr>
      </w:pPr>
    </w:p>
    <w:p w14:paraId="555434D8" w14:textId="55A0F1EB" w:rsidR="002E66B3" w:rsidRDefault="002E66B3" w:rsidP="00540990">
      <w:pPr>
        <w:widowControl w:val="0"/>
        <w:overflowPunct w:val="0"/>
        <w:autoSpaceDE w:val="0"/>
        <w:autoSpaceDN w:val="0"/>
        <w:adjustRightInd w:val="0"/>
        <w:ind w:left="567"/>
        <w:textAlignment w:val="baseline"/>
        <w:rPr>
          <w:rFonts w:ascii="Arial" w:hAnsi="Arial" w:cs="Arial"/>
          <w:b/>
          <w:i/>
          <w:sz w:val="24"/>
          <w:szCs w:val="24"/>
        </w:rPr>
      </w:pPr>
      <w:r w:rsidRPr="00EF1682">
        <w:rPr>
          <w:rFonts w:ascii="Arial" w:hAnsi="Arial" w:cs="Arial"/>
          <w:b/>
          <w:i/>
          <w:sz w:val="24"/>
          <w:szCs w:val="24"/>
        </w:rPr>
        <w:t xml:space="preserve">TEN/807 – </w:t>
      </w:r>
      <w:r w:rsidR="00540990" w:rsidRPr="00EF1682">
        <w:rPr>
          <w:rFonts w:ascii="Arial" w:hAnsi="Arial" w:cs="Arial"/>
          <w:b/>
          <w:i/>
          <w:sz w:val="24"/>
          <w:szCs w:val="24"/>
        </w:rPr>
        <w:t>Vozačke dozvole i zabrana vožnje</w:t>
      </w:r>
    </w:p>
    <w:p w14:paraId="31B5AF61" w14:textId="77777777" w:rsidR="0015792A" w:rsidRPr="00EF1682" w:rsidRDefault="0015792A" w:rsidP="00540990">
      <w:pPr>
        <w:widowControl w:val="0"/>
        <w:overflowPunct w:val="0"/>
        <w:autoSpaceDE w:val="0"/>
        <w:autoSpaceDN w:val="0"/>
        <w:adjustRightInd w:val="0"/>
        <w:ind w:left="567"/>
        <w:textAlignment w:val="baseline"/>
        <w:rPr>
          <w:rFonts w:ascii="Arial" w:hAnsi="Arial" w:cs="Arial"/>
          <w: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6802"/>
      </w:tblGrid>
      <w:tr w:rsidR="002E66B3" w:rsidRPr="00EF1682" w14:paraId="7A09E7E1" w14:textId="77777777" w:rsidTr="00401AFE">
        <w:tc>
          <w:tcPr>
            <w:tcW w:w="1232" w:type="pct"/>
          </w:tcPr>
          <w:p w14:paraId="1A7C16D7" w14:textId="77777777" w:rsidR="002E66B3" w:rsidRPr="00EF1682" w:rsidRDefault="002E66B3" w:rsidP="00401AFE">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 xml:space="preserve">: </w:t>
            </w:r>
          </w:p>
        </w:tc>
        <w:tc>
          <w:tcPr>
            <w:tcW w:w="3768" w:type="pct"/>
          </w:tcPr>
          <w:p w14:paraId="2584FDD0" w14:textId="77777777" w:rsidR="002E66B3" w:rsidRPr="00EF1682" w:rsidRDefault="002E66B3" w:rsidP="00401AFE">
            <w:pPr>
              <w:tabs>
                <w:tab w:val="center" w:pos="284"/>
              </w:tabs>
              <w:ind w:left="266" w:hanging="266"/>
              <w:rPr>
                <w:rFonts w:ascii="Arial" w:hAnsi="Arial" w:cs="Arial"/>
                <w:sz w:val="24"/>
                <w:szCs w:val="24"/>
              </w:rPr>
            </w:pPr>
            <w:r w:rsidRPr="00EF1682">
              <w:rPr>
                <w:rFonts w:ascii="Arial" w:hAnsi="Arial" w:cs="Arial"/>
                <w:sz w:val="24"/>
                <w:szCs w:val="24"/>
              </w:rPr>
              <w:t>Philippe CHARRY (Skupina radnika – GR II/Francuska)</w:t>
            </w:r>
          </w:p>
        </w:tc>
      </w:tr>
      <w:tr w:rsidR="002E66B3" w:rsidRPr="00EF1682" w14:paraId="648DCA55" w14:textId="77777777" w:rsidTr="00401AFE">
        <w:tc>
          <w:tcPr>
            <w:tcW w:w="5000" w:type="pct"/>
            <w:gridSpan w:val="2"/>
          </w:tcPr>
          <w:p w14:paraId="6911A257" w14:textId="77777777" w:rsidR="002E66B3" w:rsidRPr="00EF1682" w:rsidRDefault="002E66B3" w:rsidP="00401AFE">
            <w:pPr>
              <w:tabs>
                <w:tab w:val="center" w:pos="284"/>
              </w:tabs>
              <w:spacing w:line="160" w:lineRule="exact"/>
              <w:ind w:left="266" w:hanging="266"/>
              <w:rPr>
                <w:rFonts w:ascii="Arial" w:hAnsi="Arial" w:cs="Arial"/>
                <w:sz w:val="24"/>
                <w:szCs w:val="24"/>
                <w:lang w:val="en-US"/>
              </w:rPr>
            </w:pPr>
          </w:p>
        </w:tc>
      </w:tr>
      <w:tr w:rsidR="002E66B3" w:rsidRPr="00EF1682" w14:paraId="65E50373" w14:textId="77777777" w:rsidTr="00401AFE">
        <w:tc>
          <w:tcPr>
            <w:tcW w:w="1232" w:type="pct"/>
            <w:vMerge w:val="restart"/>
          </w:tcPr>
          <w:p w14:paraId="2E97F9D8" w14:textId="77777777" w:rsidR="002E66B3" w:rsidRPr="00EF1682" w:rsidRDefault="002E66B3" w:rsidP="00401AFE">
            <w:pPr>
              <w:tabs>
                <w:tab w:val="center" w:pos="0"/>
              </w:tabs>
              <w:ind w:left="29" w:hanging="29"/>
              <w:rPr>
                <w:rFonts w:ascii="Arial" w:hAnsi="Arial" w:cs="Arial"/>
                <w:b/>
                <w:sz w:val="24"/>
                <w:szCs w:val="24"/>
              </w:rPr>
            </w:pPr>
            <w:r w:rsidRPr="00EF1682">
              <w:rPr>
                <w:rFonts w:ascii="Arial" w:hAnsi="Arial" w:cs="Arial"/>
                <w:b/>
                <w:sz w:val="24"/>
                <w:szCs w:val="24"/>
              </w:rPr>
              <w:t>Referentni dokument/i:</w:t>
            </w:r>
          </w:p>
        </w:tc>
        <w:tc>
          <w:tcPr>
            <w:tcW w:w="3768" w:type="pct"/>
          </w:tcPr>
          <w:p w14:paraId="17589A94" w14:textId="77777777" w:rsidR="002E66B3" w:rsidRPr="00EF1682" w:rsidRDefault="002E66B3" w:rsidP="00401AFE">
            <w:pPr>
              <w:tabs>
                <w:tab w:val="center" w:pos="284"/>
              </w:tabs>
              <w:ind w:left="266" w:hanging="266"/>
              <w:rPr>
                <w:rFonts w:ascii="Arial" w:hAnsi="Arial" w:cs="Arial"/>
                <w:sz w:val="24"/>
                <w:szCs w:val="24"/>
              </w:rPr>
            </w:pPr>
            <w:r w:rsidRPr="00EF1682">
              <w:rPr>
                <w:rFonts w:ascii="Arial" w:hAnsi="Arial" w:cs="Arial"/>
                <w:sz w:val="24"/>
                <w:szCs w:val="24"/>
              </w:rPr>
              <w:t xml:space="preserve">COM(2023) 127 </w:t>
            </w:r>
            <w:proofErr w:type="spellStart"/>
            <w:r w:rsidRPr="00EF1682">
              <w:rPr>
                <w:rFonts w:ascii="Arial" w:hAnsi="Arial" w:cs="Arial"/>
                <w:sz w:val="24"/>
                <w:szCs w:val="24"/>
              </w:rPr>
              <w:t>final</w:t>
            </w:r>
            <w:proofErr w:type="spellEnd"/>
            <w:r w:rsidRPr="00EF1682">
              <w:rPr>
                <w:rFonts w:ascii="Arial" w:hAnsi="Arial" w:cs="Arial"/>
                <w:sz w:val="24"/>
                <w:szCs w:val="24"/>
              </w:rPr>
              <w:t xml:space="preserve"> – 2023/0053 (COD)</w:t>
            </w:r>
          </w:p>
          <w:p w14:paraId="3D2EE1B4" w14:textId="77777777" w:rsidR="002E66B3" w:rsidRPr="00EF1682" w:rsidRDefault="002E66B3" w:rsidP="00401AFE">
            <w:pPr>
              <w:tabs>
                <w:tab w:val="center" w:pos="284"/>
              </w:tabs>
              <w:ind w:left="266" w:hanging="266"/>
              <w:rPr>
                <w:rFonts w:ascii="Arial" w:hAnsi="Arial" w:cs="Arial"/>
                <w:sz w:val="24"/>
                <w:szCs w:val="24"/>
              </w:rPr>
            </w:pPr>
            <w:r w:rsidRPr="00EF1682">
              <w:rPr>
                <w:rFonts w:ascii="Arial" w:hAnsi="Arial" w:cs="Arial"/>
                <w:sz w:val="24"/>
                <w:szCs w:val="24"/>
              </w:rPr>
              <w:t xml:space="preserve">COM(2023) 128 </w:t>
            </w:r>
            <w:proofErr w:type="spellStart"/>
            <w:r w:rsidRPr="00EF1682">
              <w:rPr>
                <w:rFonts w:ascii="Arial" w:hAnsi="Arial" w:cs="Arial"/>
                <w:sz w:val="24"/>
                <w:szCs w:val="24"/>
              </w:rPr>
              <w:t>final</w:t>
            </w:r>
            <w:proofErr w:type="spellEnd"/>
            <w:r w:rsidRPr="00EF1682">
              <w:rPr>
                <w:rFonts w:ascii="Arial" w:hAnsi="Arial" w:cs="Arial"/>
                <w:sz w:val="24"/>
                <w:szCs w:val="24"/>
              </w:rPr>
              <w:t xml:space="preserve"> – 2023/0055 (COD)</w:t>
            </w:r>
          </w:p>
          <w:p w14:paraId="4A958A3C" w14:textId="77777777" w:rsidR="002E66B3" w:rsidRPr="00EF1682" w:rsidRDefault="002E66B3" w:rsidP="00401AFE">
            <w:pPr>
              <w:tabs>
                <w:tab w:val="center" w:pos="284"/>
              </w:tabs>
              <w:ind w:left="266" w:hanging="266"/>
              <w:rPr>
                <w:rFonts w:ascii="Arial" w:hAnsi="Arial" w:cs="Arial"/>
                <w:sz w:val="24"/>
                <w:szCs w:val="24"/>
              </w:rPr>
            </w:pPr>
            <w:r w:rsidRPr="00EF1682">
              <w:rPr>
                <w:rFonts w:ascii="Arial" w:hAnsi="Arial" w:cs="Arial"/>
                <w:sz w:val="24"/>
                <w:szCs w:val="24"/>
              </w:rPr>
              <w:t>EESC-2023-01194-00-00-AS-TRA</w:t>
            </w:r>
          </w:p>
        </w:tc>
      </w:tr>
      <w:tr w:rsidR="002E66B3" w:rsidRPr="00EF1682" w14:paraId="4C137E59" w14:textId="77777777" w:rsidTr="00401AFE">
        <w:tc>
          <w:tcPr>
            <w:tcW w:w="1232" w:type="pct"/>
            <w:vMerge/>
          </w:tcPr>
          <w:p w14:paraId="1DC242F3" w14:textId="77777777" w:rsidR="002E66B3" w:rsidRPr="00EF1682" w:rsidRDefault="002E66B3" w:rsidP="00401AFE">
            <w:pPr>
              <w:tabs>
                <w:tab w:val="center" w:pos="284"/>
              </w:tabs>
              <w:ind w:left="266" w:hanging="266"/>
              <w:rPr>
                <w:rFonts w:ascii="Arial" w:hAnsi="Arial" w:cs="Arial"/>
                <w:b/>
                <w:sz w:val="24"/>
                <w:szCs w:val="24"/>
                <w:lang w:val="en-US"/>
              </w:rPr>
            </w:pPr>
          </w:p>
        </w:tc>
        <w:tc>
          <w:tcPr>
            <w:tcW w:w="3768" w:type="pct"/>
          </w:tcPr>
          <w:p w14:paraId="408F1488" w14:textId="77777777" w:rsidR="002E66B3" w:rsidRPr="00EF1682" w:rsidRDefault="002E66B3" w:rsidP="002E66B3">
            <w:pPr>
              <w:tabs>
                <w:tab w:val="center" w:pos="284"/>
              </w:tabs>
              <w:rPr>
                <w:rFonts w:ascii="Arial" w:hAnsi="Arial" w:cs="Arial"/>
                <w:sz w:val="24"/>
                <w:szCs w:val="24"/>
                <w:lang w:val="en-US"/>
              </w:rPr>
            </w:pPr>
          </w:p>
        </w:tc>
      </w:tr>
    </w:tbl>
    <w:p w14:paraId="75C901A6" w14:textId="3D7DFDB4" w:rsidR="002E66B3" w:rsidRPr="00EF1682" w:rsidRDefault="002E66B3" w:rsidP="002E66B3">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344771B4" w14:textId="257AC1B4" w:rsidR="002E66B3" w:rsidRPr="00EF1682" w:rsidRDefault="002E66B3" w:rsidP="002E66B3">
      <w:pPr>
        <w:rPr>
          <w:rFonts w:ascii="Arial" w:hAnsi="Arial" w:cs="Arial"/>
          <w:bCs/>
          <w:iCs/>
          <w:sz w:val="24"/>
          <w:szCs w:val="24"/>
        </w:rPr>
      </w:pPr>
      <w:r w:rsidRPr="00EF1682">
        <w:rPr>
          <w:rFonts w:ascii="Arial" w:hAnsi="Arial" w:cs="Arial"/>
          <w:sz w:val="24"/>
          <w:szCs w:val="24"/>
        </w:rPr>
        <w:t>EGSO:</w:t>
      </w:r>
    </w:p>
    <w:p w14:paraId="33E1E374" w14:textId="77777777" w:rsidR="002E66B3" w:rsidRPr="00EF1682" w:rsidRDefault="002E66B3" w:rsidP="002E66B3">
      <w:pPr>
        <w:pStyle w:val="ListParagraph"/>
        <w:widowControl/>
        <w:numPr>
          <w:ilvl w:val="0"/>
          <w:numId w:val="4"/>
        </w:numPr>
        <w:autoSpaceDE/>
        <w:autoSpaceDN/>
        <w:adjustRightInd/>
        <w:spacing w:after="200" w:line="276" w:lineRule="auto"/>
        <w:ind w:left="567" w:hanging="567"/>
        <w:jc w:val="both"/>
        <w:rPr>
          <w:sz w:val="24"/>
          <w:szCs w:val="24"/>
        </w:rPr>
      </w:pPr>
      <w:r w:rsidRPr="00EF1682">
        <w:rPr>
          <w:sz w:val="24"/>
          <w:szCs w:val="24"/>
        </w:rPr>
        <w:t>podržava cilj da se izdavanjem digitalne vozačke dozvole vozačima u Europskoj uniji pokuša riješiti problem spore administracije i razlikâ među državama članica u obradi zahtjevâ za zamjenu vozačkih dozvola stranih vozača. Ta će vozačka dozvola biti pohranjena na mobilnim telefonima ili na bilo kojem drugom digitalnom mediju. Međutim, EGSO se nada da će vozačke dozvole u papirnatom obliku ostati dostupne vozačima koji ih žele. Nadalje, radi promicanja digitalne uključenosti svih dobnih skupina EGSO preporučuje personalizirano i besplatno osposobljavanje i podučavanje u vezi s upotrebom novih digitalnih vozačkih dozvola;</w:t>
      </w:r>
    </w:p>
    <w:p w14:paraId="7BDFA38B" w14:textId="77777777" w:rsidR="002E66B3" w:rsidRPr="00EF1682" w:rsidRDefault="002E66B3" w:rsidP="002E66B3">
      <w:pPr>
        <w:pStyle w:val="ListParagraph"/>
        <w:widowControl/>
        <w:numPr>
          <w:ilvl w:val="0"/>
          <w:numId w:val="4"/>
        </w:numPr>
        <w:autoSpaceDE/>
        <w:autoSpaceDN/>
        <w:adjustRightInd/>
        <w:spacing w:after="200" w:line="276" w:lineRule="auto"/>
        <w:ind w:left="567" w:hanging="567"/>
        <w:jc w:val="both"/>
        <w:rPr>
          <w:sz w:val="24"/>
          <w:szCs w:val="24"/>
        </w:rPr>
      </w:pPr>
      <w:r w:rsidRPr="00EF1682">
        <w:rPr>
          <w:sz w:val="24"/>
          <w:szCs w:val="24"/>
        </w:rPr>
        <w:t>prima na znanje priliku da se mladima omogući da počnu uz pratnju upravljati teškim teretnim vozilima od navršenih 17 godina. Također naglašava potrebu za prilagodbom stručnog osposobljavanja vozača teških teretnih vozila i poboljšanjem radnih uvjeta i plaća kako bi to zanimanje postalo privlačnije. Poziva Komisiju da potakne poslodavce da svim sredstvima pokušaju poboljšati situaciju, primjerice jačanjem osposobljavanja ili mjerama senzibilizacije javnosti u državama članicama;</w:t>
      </w:r>
    </w:p>
    <w:p w14:paraId="57538EED" w14:textId="6B8838C3" w:rsidR="00195750" w:rsidRDefault="002E66B3" w:rsidP="00195750">
      <w:pPr>
        <w:pStyle w:val="ListParagraph"/>
        <w:widowControl/>
        <w:numPr>
          <w:ilvl w:val="0"/>
          <w:numId w:val="4"/>
        </w:numPr>
        <w:autoSpaceDE/>
        <w:autoSpaceDN/>
        <w:adjustRightInd/>
        <w:spacing w:after="200" w:line="276" w:lineRule="auto"/>
        <w:ind w:left="567" w:hanging="567"/>
        <w:jc w:val="both"/>
        <w:rPr>
          <w:sz w:val="24"/>
          <w:szCs w:val="24"/>
        </w:rPr>
      </w:pPr>
      <w:r w:rsidRPr="00EF1682">
        <w:rPr>
          <w:sz w:val="24"/>
          <w:szCs w:val="24"/>
        </w:rPr>
        <w:t>želi da se Prijedlogom direktive o zabrani vožnje osigura bolja zaštita od mogućeg preklapanja s područjem primjene suradnje u kaznenim stvarima. Naime, predviđena razmjena informacija o prekršajima koje su počinili vozači temelji se na članku 91. stavku 1. točki (c) Ugovora o funkcioniranju Europske unije (UFEU) o zajedničkoj prometnoj politici, dok se planirana razmjena informacija među nadležnim nacionalnim tijelima odnosi prije svega na kaznena djela i temelji na načelima policijske suradnje, kako je utvrđeno u članku 87. UFEU-a, i na načelima pravosudne suradnje u kaznenim stvarima, kako je utvrđeno u članku 82. UFEU-a.</w:t>
      </w:r>
    </w:p>
    <w:p w14:paraId="0396445F" w14:textId="77777777" w:rsidR="005C2C04" w:rsidRPr="005C2C04" w:rsidRDefault="005C2C04" w:rsidP="005C2C04">
      <w:pPr>
        <w:pStyle w:val="ListParagraph"/>
        <w:widowControl/>
        <w:autoSpaceDE/>
        <w:autoSpaceDN/>
        <w:adjustRightInd/>
        <w:spacing w:after="200" w:line="276" w:lineRule="auto"/>
        <w:ind w:left="567"/>
        <w:jc w:val="both"/>
        <w:rPr>
          <w:sz w:val="24"/>
          <w:szCs w:val="24"/>
        </w:rPr>
      </w:pPr>
    </w:p>
    <w:p w14:paraId="00FA5AB9" w14:textId="2943B43C" w:rsidR="00195750" w:rsidRPr="00EF1682" w:rsidRDefault="00195750" w:rsidP="00195750">
      <w:pPr>
        <w:pStyle w:val="ListParagraph"/>
        <w:rPr>
          <w:i/>
          <w:iCs/>
          <w:sz w:val="24"/>
          <w:szCs w:val="24"/>
        </w:rPr>
      </w:pPr>
      <w:r w:rsidRPr="00EF1682">
        <w:rPr>
          <w:b/>
          <w:i/>
          <w:iCs/>
          <w:sz w:val="24"/>
          <w:szCs w:val="24"/>
        </w:rPr>
        <w:t xml:space="preserve">ECO/609 Provedba </w:t>
      </w:r>
      <w:proofErr w:type="spellStart"/>
      <w:r w:rsidRPr="00EF1682">
        <w:rPr>
          <w:b/>
          <w:i/>
          <w:iCs/>
          <w:sz w:val="24"/>
          <w:szCs w:val="24"/>
        </w:rPr>
        <w:t>makroregionalnih</w:t>
      </w:r>
      <w:proofErr w:type="spellEnd"/>
      <w:r w:rsidRPr="00EF1682">
        <w:rPr>
          <w:b/>
          <w:i/>
          <w:iCs/>
          <w:sz w:val="24"/>
          <w:szCs w:val="24"/>
        </w:rPr>
        <w:t xml:space="preserve"> strategija EU-a</w:t>
      </w:r>
    </w:p>
    <w:p w14:paraId="6C7B70CC" w14:textId="77777777" w:rsidR="00195750" w:rsidRPr="00EF1682" w:rsidRDefault="00195750" w:rsidP="00195750">
      <w:pPr>
        <w:pStyle w:val="ListParagraph"/>
        <w:rPr>
          <w:i/>
          <w:iCs/>
          <w:sz w:val="24"/>
          <w:szCs w:val="24"/>
        </w:rPr>
      </w:pPr>
    </w:p>
    <w:p w14:paraId="64069B29" w14:textId="77777777" w:rsidR="00195750" w:rsidRPr="00EF1682" w:rsidRDefault="00195750" w:rsidP="00195750">
      <w:pPr>
        <w:pStyle w:val="ListParagraph"/>
        <w:rPr>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5529"/>
      </w:tblGrid>
      <w:tr w:rsidR="00195750" w:rsidRPr="00EF1682" w14:paraId="53B1C8FE" w14:textId="77777777" w:rsidTr="00D639EC">
        <w:tc>
          <w:tcPr>
            <w:tcW w:w="1701" w:type="dxa"/>
          </w:tcPr>
          <w:p w14:paraId="66EB94C0" w14:textId="77777777" w:rsidR="00195750" w:rsidRPr="00EF1682" w:rsidRDefault="00195750" w:rsidP="00D639EC">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5529" w:type="dxa"/>
          </w:tcPr>
          <w:p w14:paraId="76B688FA" w14:textId="77777777" w:rsidR="00195750" w:rsidRPr="00EF1682" w:rsidRDefault="00195750" w:rsidP="00D639EC">
            <w:pPr>
              <w:tabs>
                <w:tab w:val="center" w:pos="284"/>
              </w:tabs>
              <w:ind w:left="266" w:hanging="266"/>
              <w:rPr>
                <w:rFonts w:ascii="Arial" w:hAnsi="Arial" w:cs="Arial"/>
                <w:bCs/>
                <w:sz w:val="24"/>
                <w:szCs w:val="24"/>
              </w:rPr>
            </w:pPr>
            <w:r w:rsidRPr="00EF1682">
              <w:rPr>
                <w:rFonts w:ascii="Arial" w:hAnsi="Arial" w:cs="Arial"/>
                <w:sz w:val="24"/>
                <w:szCs w:val="24"/>
              </w:rPr>
              <w:t>Stefano PALMIERI (Skupina radnika – IT)</w:t>
            </w:r>
          </w:p>
        </w:tc>
      </w:tr>
      <w:tr w:rsidR="00195750" w:rsidRPr="00EF1682" w14:paraId="2D7794FF" w14:textId="77777777" w:rsidTr="00D639EC">
        <w:tc>
          <w:tcPr>
            <w:tcW w:w="1701" w:type="dxa"/>
          </w:tcPr>
          <w:p w14:paraId="6678A0F2" w14:textId="77777777" w:rsidR="00195750" w:rsidRPr="00EF1682" w:rsidRDefault="00195750" w:rsidP="00D639EC">
            <w:pPr>
              <w:tabs>
                <w:tab w:val="center" w:pos="284"/>
              </w:tabs>
              <w:ind w:left="266" w:hanging="266"/>
              <w:rPr>
                <w:rFonts w:ascii="Arial" w:hAnsi="Arial" w:cs="Arial"/>
                <w:b/>
                <w:sz w:val="24"/>
                <w:szCs w:val="24"/>
              </w:rPr>
            </w:pPr>
            <w:r w:rsidRPr="00EF1682">
              <w:rPr>
                <w:rFonts w:ascii="Arial" w:hAnsi="Arial" w:cs="Arial"/>
                <w:b/>
                <w:sz w:val="24"/>
                <w:szCs w:val="24"/>
              </w:rPr>
              <w:t>Suizvjestitelj/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5529" w:type="dxa"/>
          </w:tcPr>
          <w:p w14:paraId="3CC35A9A" w14:textId="77777777" w:rsidR="00195750" w:rsidRPr="00EF1682" w:rsidRDefault="00195750" w:rsidP="00D639EC">
            <w:pPr>
              <w:tabs>
                <w:tab w:val="center" w:pos="284"/>
              </w:tabs>
              <w:ind w:left="266" w:hanging="266"/>
              <w:rPr>
                <w:rFonts w:ascii="Arial" w:hAnsi="Arial" w:cs="Arial"/>
                <w:bCs/>
                <w:sz w:val="24"/>
                <w:szCs w:val="24"/>
              </w:rPr>
            </w:pPr>
            <w:proofErr w:type="spellStart"/>
            <w:r w:rsidRPr="00EF1682">
              <w:rPr>
                <w:rFonts w:ascii="Arial" w:hAnsi="Arial" w:cs="Arial"/>
                <w:sz w:val="24"/>
                <w:szCs w:val="24"/>
              </w:rPr>
              <w:t>Dimitris</w:t>
            </w:r>
            <w:proofErr w:type="spellEnd"/>
            <w:r w:rsidRPr="00EF1682">
              <w:rPr>
                <w:rFonts w:ascii="Arial" w:hAnsi="Arial" w:cs="Arial"/>
                <w:sz w:val="24"/>
                <w:szCs w:val="24"/>
              </w:rPr>
              <w:t xml:space="preserve"> DMITRIADIS (Skupina poslodavaca – EL)</w:t>
            </w:r>
          </w:p>
        </w:tc>
      </w:tr>
      <w:tr w:rsidR="00195750" w:rsidRPr="00EF1682" w14:paraId="72164553" w14:textId="77777777" w:rsidTr="00D639EC">
        <w:trPr>
          <w:trHeight w:val="124"/>
        </w:trPr>
        <w:tc>
          <w:tcPr>
            <w:tcW w:w="1701" w:type="dxa"/>
          </w:tcPr>
          <w:p w14:paraId="5F9BC650" w14:textId="77777777" w:rsidR="00195750" w:rsidRPr="00EF1682" w:rsidRDefault="00195750" w:rsidP="00D639EC">
            <w:pPr>
              <w:tabs>
                <w:tab w:val="center" w:pos="284"/>
              </w:tabs>
              <w:ind w:left="266" w:hanging="266"/>
              <w:rPr>
                <w:rFonts w:ascii="Arial" w:hAnsi="Arial" w:cs="Arial"/>
                <w:b/>
                <w:sz w:val="24"/>
                <w:szCs w:val="24"/>
                <w:lang w:val="fr-FR"/>
              </w:rPr>
            </w:pPr>
          </w:p>
        </w:tc>
        <w:tc>
          <w:tcPr>
            <w:tcW w:w="5529" w:type="dxa"/>
          </w:tcPr>
          <w:p w14:paraId="7613D66F" w14:textId="77777777" w:rsidR="00195750" w:rsidRPr="00EF1682" w:rsidRDefault="00195750" w:rsidP="00D639EC">
            <w:pPr>
              <w:tabs>
                <w:tab w:val="center" w:pos="284"/>
              </w:tabs>
              <w:ind w:left="266" w:hanging="266"/>
              <w:rPr>
                <w:rFonts w:ascii="Arial" w:hAnsi="Arial" w:cs="Arial"/>
                <w:bCs/>
                <w:sz w:val="24"/>
                <w:szCs w:val="24"/>
              </w:rPr>
            </w:pPr>
          </w:p>
        </w:tc>
      </w:tr>
      <w:tr w:rsidR="00195750" w:rsidRPr="00EF1682" w14:paraId="4218BC81" w14:textId="77777777" w:rsidTr="00D639EC">
        <w:tc>
          <w:tcPr>
            <w:tcW w:w="1701" w:type="dxa"/>
          </w:tcPr>
          <w:p w14:paraId="5B6E7BA9" w14:textId="77777777" w:rsidR="00195750" w:rsidRPr="00EF1682" w:rsidRDefault="00195750" w:rsidP="00D639EC">
            <w:pPr>
              <w:tabs>
                <w:tab w:val="center" w:pos="284"/>
              </w:tabs>
              <w:ind w:left="266" w:hanging="266"/>
              <w:rPr>
                <w:rFonts w:ascii="Arial" w:hAnsi="Arial" w:cs="Arial"/>
                <w:b/>
                <w:sz w:val="24"/>
                <w:szCs w:val="24"/>
              </w:rPr>
            </w:pPr>
            <w:r w:rsidRPr="00EF1682">
              <w:rPr>
                <w:rFonts w:ascii="Arial" w:hAnsi="Arial" w:cs="Arial"/>
                <w:b/>
                <w:sz w:val="24"/>
                <w:szCs w:val="24"/>
              </w:rPr>
              <w:t>Referentni dokument/i:</w:t>
            </w:r>
          </w:p>
        </w:tc>
        <w:tc>
          <w:tcPr>
            <w:tcW w:w="5529" w:type="dxa"/>
          </w:tcPr>
          <w:p w14:paraId="388ADBA3" w14:textId="77777777" w:rsidR="00195750" w:rsidRPr="00EF1682" w:rsidRDefault="00195750" w:rsidP="00D639EC">
            <w:pPr>
              <w:tabs>
                <w:tab w:val="center" w:pos="284"/>
              </w:tabs>
              <w:ind w:left="266" w:hanging="266"/>
              <w:rPr>
                <w:rFonts w:ascii="Arial" w:hAnsi="Arial" w:cs="Arial"/>
                <w:bCs/>
                <w:sz w:val="24"/>
                <w:szCs w:val="24"/>
              </w:rPr>
            </w:pPr>
            <w:r w:rsidRPr="00EF1682">
              <w:rPr>
                <w:rFonts w:ascii="Arial" w:hAnsi="Arial" w:cs="Arial"/>
                <w:sz w:val="24"/>
                <w:szCs w:val="24"/>
              </w:rPr>
              <w:t>EESC-2023-00801-00-00-AS-TRA</w:t>
            </w:r>
          </w:p>
        </w:tc>
      </w:tr>
    </w:tbl>
    <w:p w14:paraId="4A0474DC" w14:textId="77777777" w:rsidR="00195750" w:rsidRPr="00EF1682" w:rsidRDefault="00195750" w:rsidP="00195750">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2803E727" w14:textId="77777777" w:rsidR="00195750" w:rsidRPr="00EF1682" w:rsidRDefault="00195750" w:rsidP="00195750">
      <w:pPr>
        <w:rPr>
          <w:rFonts w:ascii="Arial" w:hAnsi="Arial" w:cs="Arial"/>
          <w:sz w:val="24"/>
          <w:szCs w:val="24"/>
        </w:rPr>
      </w:pPr>
      <w:r w:rsidRPr="00EF1682">
        <w:rPr>
          <w:rFonts w:ascii="Arial" w:hAnsi="Arial" w:cs="Arial"/>
          <w:sz w:val="24"/>
          <w:szCs w:val="24"/>
        </w:rPr>
        <w:t>EGSO:</w:t>
      </w:r>
    </w:p>
    <w:p w14:paraId="38C784BB"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priznaje da </w:t>
      </w:r>
      <w:proofErr w:type="spellStart"/>
      <w:r w:rsidRPr="00EF1682">
        <w:rPr>
          <w:sz w:val="24"/>
          <w:szCs w:val="24"/>
        </w:rPr>
        <w:t>makroregionalne</w:t>
      </w:r>
      <w:proofErr w:type="spellEnd"/>
      <w:r w:rsidRPr="00EF1682">
        <w:rPr>
          <w:sz w:val="24"/>
          <w:szCs w:val="24"/>
        </w:rPr>
        <w:t xml:space="preserve"> strategije imaju važnu ulogu u socijalnoj, teritorijalnoj i gospodarskoj koheziji regija te doprinose europskoj integraciji susjednih zemalja;</w:t>
      </w:r>
    </w:p>
    <w:p w14:paraId="593BD14C"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ističe da se u okviru </w:t>
      </w:r>
      <w:proofErr w:type="spellStart"/>
      <w:r w:rsidRPr="00EF1682">
        <w:rPr>
          <w:sz w:val="24"/>
          <w:szCs w:val="24"/>
        </w:rPr>
        <w:t>makroregionalnih</w:t>
      </w:r>
      <w:proofErr w:type="spellEnd"/>
      <w:r w:rsidRPr="00EF1682">
        <w:rPr>
          <w:sz w:val="24"/>
          <w:szCs w:val="24"/>
        </w:rPr>
        <w:t xml:space="preserve"> strategija razmatraju pitanja za koja je potrebna suradnja više zemalja na temelju međusektorskog pristupa i pristupa upravljanja na više razina;</w:t>
      </w:r>
    </w:p>
    <w:p w14:paraId="66D948DE"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smatra da bi trebalo više raditi na jačanju </w:t>
      </w:r>
      <w:proofErr w:type="spellStart"/>
      <w:r w:rsidRPr="00EF1682">
        <w:rPr>
          <w:sz w:val="24"/>
          <w:szCs w:val="24"/>
        </w:rPr>
        <w:t>makroregionalnih</w:t>
      </w:r>
      <w:proofErr w:type="spellEnd"/>
      <w:r w:rsidRPr="00EF1682">
        <w:rPr>
          <w:sz w:val="24"/>
          <w:szCs w:val="24"/>
        </w:rPr>
        <w:t xml:space="preserve"> strategija u cilju poticanja promjena, izgradnje povjerenja i promicanja europskih vrijednosti;</w:t>
      </w:r>
    </w:p>
    <w:p w14:paraId="38CD5AF2"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napominje da su se </w:t>
      </w:r>
      <w:proofErr w:type="spellStart"/>
      <w:r w:rsidRPr="00EF1682">
        <w:rPr>
          <w:sz w:val="24"/>
          <w:szCs w:val="24"/>
        </w:rPr>
        <w:t>makroregionalne</w:t>
      </w:r>
      <w:proofErr w:type="spellEnd"/>
      <w:r w:rsidRPr="00EF1682">
        <w:rPr>
          <w:sz w:val="24"/>
          <w:szCs w:val="24"/>
        </w:rPr>
        <w:t xml:space="preserve"> strategije pokazale korisnima za rješavanje zdravstvene krize i posljedica ruske invazije na Ukrajinu. Konkretno, EUSDR i EUSBR imaju važnu ulogu u jačanju veza između Ukrajine i EU-a za integraciju ukrajinskih izbjeglica i stvaranju sigurnih koridora za prijevoz tereta;</w:t>
      </w:r>
    </w:p>
    <w:p w14:paraId="3926B7C7"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kad je riječ o zelenoj, digitalnoj i socijalnoj tranziciji, napominje da se postupak provedbe pojedinačnih </w:t>
      </w:r>
      <w:proofErr w:type="spellStart"/>
      <w:r w:rsidRPr="00EF1682">
        <w:rPr>
          <w:sz w:val="24"/>
          <w:szCs w:val="24"/>
        </w:rPr>
        <w:t>makroregionalnih</w:t>
      </w:r>
      <w:proofErr w:type="spellEnd"/>
      <w:r w:rsidRPr="00EF1682">
        <w:rPr>
          <w:sz w:val="24"/>
          <w:szCs w:val="24"/>
        </w:rPr>
        <w:t xml:space="preserve"> strategija razlikuje zbog različitih razina provedbe sektorskih politika te stupnja pripravnosti zemalja izvan EU-a. Ključno je ojačati vezu između zelene, digitalne i socijalne tranzicije kako bi se naglasak preusmjerio s količine proizvodnje na kvalitetu proizvodnje;</w:t>
      </w:r>
    </w:p>
    <w:p w14:paraId="1D651A2C"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uzima u obzir činjenicu da organizacije civilnog društva i socijalni partneri imaju ključnu ulogu u doprinosu boljem donošenju odluka, osobito uključivanjem lokalnih i regionalnih zajednica u </w:t>
      </w:r>
      <w:proofErr w:type="spellStart"/>
      <w:r w:rsidRPr="00EF1682">
        <w:rPr>
          <w:sz w:val="24"/>
          <w:szCs w:val="24"/>
        </w:rPr>
        <w:t>makroregionalne</w:t>
      </w:r>
      <w:proofErr w:type="spellEnd"/>
      <w:r w:rsidRPr="00EF1682">
        <w:rPr>
          <w:sz w:val="24"/>
          <w:szCs w:val="24"/>
        </w:rPr>
        <w:t xml:space="preserve"> strategije, te potiče države članice, ali i Europsku komisiju, da još više uključe organizacije civilnog društva, socijalne partnere i regionalnu i lokalnu razinu upravljanja;</w:t>
      </w:r>
    </w:p>
    <w:p w14:paraId="4AA9CB65"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nadalje, za učinkovitost i djelotvornost četiriju </w:t>
      </w:r>
      <w:proofErr w:type="spellStart"/>
      <w:r w:rsidRPr="00EF1682">
        <w:rPr>
          <w:sz w:val="24"/>
          <w:szCs w:val="24"/>
        </w:rPr>
        <w:t>makroregionalnih</w:t>
      </w:r>
      <w:proofErr w:type="spellEnd"/>
      <w:r w:rsidRPr="00EF1682">
        <w:rPr>
          <w:sz w:val="24"/>
          <w:szCs w:val="24"/>
        </w:rPr>
        <w:t xml:space="preserve"> strategija važno je ojačati izgradnju kapaciteta lokalnih državnih i nedržavnih aktera. Važno je pokrenuti postupke informiranja i osposobljavanja za te aktere. U tom kontekstu predlaže uspostavu sustava kratkotrajne i srednjoročne razmjene javnih službenika;</w:t>
      </w:r>
    </w:p>
    <w:p w14:paraId="6EECD17B"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pozdravlja inicijativu za uspostavu institucionaliziranog dijaloga s građanima u </w:t>
      </w:r>
      <w:proofErr w:type="spellStart"/>
      <w:r w:rsidRPr="00EF1682">
        <w:rPr>
          <w:sz w:val="24"/>
          <w:szCs w:val="24"/>
        </w:rPr>
        <w:t>makroregijama</w:t>
      </w:r>
      <w:proofErr w:type="spellEnd"/>
      <w:r w:rsidRPr="00EF1682">
        <w:rPr>
          <w:sz w:val="24"/>
          <w:szCs w:val="24"/>
        </w:rPr>
        <w:t xml:space="preserve"> i smatra da bi u tom pogledu mogao pomoći. Isto je tako važno da organizirano civilno društvo i socijalni partneri imaju aktivniju ulogu i da sudjeluju u upravnim odborima svih </w:t>
      </w:r>
      <w:proofErr w:type="spellStart"/>
      <w:r w:rsidRPr="00EF1682">
        <w:rPr>
          <w:sz w:val="24"/>
          <w:szCs w:val="24"/>
        </w:rPr>
        <w:t>makroregionalnih</w:t>
      </w:r>
      <w:proofErr w:type="spellEnd"/>
      <w:r w:rsidRPr="00EF1682">
        <w:rPr>
          <w:sz w:val="24"/>
          <w:szCs w:val="24"/>
        </w:rPr>
        <w:t xml:space="preserve"> strategija. U tom pogledu predlaže organiziranje foruma s predstavnicima civilnog društva u državama članicama </w:t>
      </w:r>
      <w:proofErr w:type="spellStart"/>
      <w:r w:rsidRPr="00EF1682">
        <w:rPr>
          <w:sz w:val="24"/>
          <w:szCs w:val="24"/>
        </w:rPr>
        <w:t>makroregionalnih</w:t>
      </w:r>
      <w:proofErr w:type="spellEnd"/>
      <w:r w:rsidRPr="00EF1682">
        <w:rPr>
          <w:sz w:val="24"/>
          <w:szCs w:val="24"/>
        </w:rPr>
        <w:t xml:space="preserve"> strategija;</w:t>
      </w:r>
    </w:p>
    <w:p w14:paraId="0E2D5C30"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iCs/>
          <w:sz w:val="24"/>
          <w:szCs w:val="24"/>
        </w:rPr>
      </w:pPr>
      <w:r w:rsidRPr="00EF1682">
        <w:rPr>
          <w:sz w:val="24"/>
          <w:szCs w:val="24"/>
        </w:rPr>
        <w:t xml:space="preserve">poziva sve aktere </w:t>
      </w:r>
      <w:proofErr w:type="spellStart"/>
      <w:r w:rsidRPr="00EF1682">
        <w:rPr>
          <w:sz w:val="24"/>
          <w:szCs w:val="24"/>
        </w:rPr>
        <w:t>makroregionalnih</w:t>
      </w:r>
      <w:proofErr w:type="spellEnd"/>
      <w:r w:rsidRPr="00EF1682">
        <w:rPr>
          <w:sz w:val="24"/>
          <w:szCs w:val="24"/>
        </w:rPr>
        <w:t xml:space="preserve"> strategija da istraže mogućnosti za preokret problema nedostatka uključenosti ključnih lokalnih pokretača razvoja (MSP-ovi, postojeći industrijski klasteri, lokalne banke, socijalna poduzeća, sindikati, akademska zajednica, nevladine organizacije i druge organizacije civilnog društva);</w:t>
      </w:r>
    </w:p>
    <w:p w14:paraId="7D3664B1"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sz w:val="24"/>
          <w:szCs w:val="24"/>
        </w:rPr>
      </w:pPr>
      <w:r w:rsidRPr="00EF1682">
        <w:rPr>
          <w:sz w:val="24"/>
          <w:szCs w:val="24"/>
        </w:rPr>
        <w:t xml:space="preserve">unatoč nastojanjima Europske komisije da poveća vidljivost </w:t>
      </w:r>
      <w:proofErr w:type="spellStart"/>
      <w:r w:rsidRPr="00EF1682">
        <w:rPr>
          <w:sz w:val="24"/>
          <w:szCs w:val="24"/>
        </w:rPr>
        <w:t>makroregionalnih</w:t>
      </w:r>
      <w:proofErr w:type="spellEnd"/>
      <w:r w:rsidRPr="00EF1682">
        <w:rPr>
          <w:sz w:val="24"/>
          <w:szCs w:val="24"/>
        </w:rPr>
        <w:t xml:space="preserve"> strategija, smatra da bolja komunikacija ne ovisi samo o jednom ključnom akteru, nego o većem angažmanu država članica i trećih zemalja koje sudjeluju u </w:t>
      </w:r>
      <w:proofErr w:type="spellStart"/>
      <w:r w:rsidRPr="00EF1682">
        <w:rPr>
          <w:sz w:val="24"/>
          <w:szCs w:val="24"/>
        </w:rPr>
        <w:t>makroregionalnim</w:t>
      </w:r>
      <w:proofErr w:type="spellEnd"/>
      <w:r w:rsidRPr="00EF1682">
        <w:rPr>
          <w:sz w:val="24"/>
          <w:szCs w:val="24"/>
        </w:rPr>
        <w:t xml:space="preserve"> strategijama;</w:t>
      </w:r>
    </w:p>
    <w:p w14:paraId="2AC1D08A" w14:textId="77777777" w:rsidR="00195750" w:rsidRPr="00EF1682" w:rsidRDefault="00195750" w:rsidP="00195750">
      <w:pPr>
        <w:pStyle w:val="ListParagraph"/>
        <w:widowControl/>
        <w:numPr>
          <w:ilvl w:val="0"/>
          <w:numId w:val="14"/>
        </w:numPr>
        <w:autoSpaceDE/>
        <w:autoSpaceDN/>
        <w:adjustRightInd/>
        <w:spacing w:after="80" w:line="252" w:lineRule="auto"/>
        <w:ind w:left="284" w:hanging="284"/>
        <w:jc w:val="both"/>
        <w:rPr>
          <w:sz w:val="24"/>
          <w:szCs w:val="24"/>
        </w:rPr>
      </w:pPr>
      <w:r w:rsidRPr="00EF1682">
        <w:rPr>
          <w:sz w:val="24"/>
          <w:szCs w:val="24"/>
        </w:rPr>
        <w:t xml:space="preserve">predlaže da se razmotri drugačiji pristup upravljanju </w:t>
      </w:r>
      <w:proofErr w:type="spellStart"/>
      <w:r w:rsidRPr="00EF1682">
        <w:rPr>
          <w:sz w:val="24"/>
          <w:szCs w:val="24"/>
        </w:rPr>
        <w:t>makroregionalnim</w:t>
      </w:r>
      <w:proofErr w:type="spellEnd"/>
      <w:r w:rsidRPr="00EF1682">
        <w:rPr>
          <w:sz w:val="24"/>
          <w:szCs w:val="24"/>
        </w:rPr>
        <w:t xml:space="preserve"> strategijama. Budući da političku razinu predstavljaju ministri vanjskih poslova, operativnu bi razinu trebalo ojačati boljom suradnjom s ministarstvima europskih poslova i onima nadležnima za fondove EU-a.</w:t>
      </w:r>
    </w:p>
    <w:p w14:paraId="5515306F" w14:textId="77777777" w:rsidR="00936A62" w:rsidRDefault="00936A62" w:rsidP="002E66B3">
      <w:pPr>
        <w:widowControl w:val="0"/>
        <w:ind w:left="709"/>
        <w:rPr>
          <w:rFonts w:ascii="Arial" w:hAnsi="Arial" w:cs="Arial"/>
          <w:sz w:val="24"/>
          <w:szCs w:val="24"/>
        </w:rPr>
      </w:pPr>
    </w:p>
    <w:p w14:paraId="02BFC545" w14:textId="77777777" w:rsidR="00802F26" w:rsidRDefault="00802F26" w:rsidP="002E66B3">
      <w:pPr>
        <w:widowControl w:val="0"/>
        <w:ind w:left="709"/>
        <w:rPr>
          <w:rFonts w:ascii="Arial" w:hAnsi="Arial" w:cs="Arial"/>
          <w:sz w:val="24"/>
          <w:szCs w:val="24"/>
        </w:rPr>
      </w:pPr>
    </w:p>
    <w:p w14:paraId="160A74A8" w14:textId="77777777" w:rsidR="00802F26" w:rsidRDefault="00802F26" w:rsidP="002E66B3">
      <w:pPr>
        <w:widowControl w:val="0"/>
        <w:ind w:left="709"/>
        <w:rPr>
          <w:rFonts w:ascii="Arial" w:hAnsi="Arial" w:cs="Arial"/>
          <w:sz w:val="24"/>
          <w:szCs w:val="24"/>
        </w:rPr>
      </w:pPr>
    </w:p>
    <w:p w14:paraId="29E4966D" w14:textId="77777777" w:rsidR="00802F26" w:rsidRDefault="00802F26" w:rsidP="002E66B3">
      <w:pPr>
        <w:widowControl w:val="0"/>
        <w:ind w:left="709"/>
        <w:rPr>
          <w:rFonts w:ascii="Arial" w:hAnsi="Arial" w:cs="Arial"/>
          <w:sz w:val="24"/>
          <w:szCs w:val="24"/>
        </w:rPr>
      </w:pPr>
    </w:p>
    <w:p w14:paraId="56D04290" w14:textId="77777777" w:rsidR="00802F26" w:rsidRDefault="00802F26" w:rsidP="002E66B3">
      <w:pPr>
        <w:widowControl w:val="0"/>
        <w:ind w:left="709"/>
        <w:rPr>
          <w:rFonts w:ascii="Arial" w:hAnsi="Arial" w:cs="Arial"/>
          <w:sz w:val="24"/>
          <w:szCs w:val="24"/>
        </w:rPr>
      </w:pPr>
    </w:p>
    <w:p w14:paraId="3C48C4C7" w14:textId="77777777" w:rsidR="00802F26" w:rsidRDefault="00802F26" w:rsidP="002E66B3">
      <w:pPr>
        <w:widowControl w:val="0"/>
        <w:ind w:left="709"/>
        <w:rPr>
          <w:rFonts w:ascii="Arial" w:hAnsi="Arial" w:cs="Arial"/>
          <w:sz w:val="24"/>
          <w:szCs w:val="24"/>
        </w:rPr>
      </w:pPr>
    </w:p>
    <w:p w14:paraId="19BC60D8" w14:textId="77777777" w:rsidR="00802F26" w:rsidRPr="00EF1682" w:rsidRDefault="00802F26" w:rsidP="002E66B3">
      <w:pPr>
        <w:widowControl w:val="0"/>
        <w:ind w:left="709"/>
        <w:rPr>
          <w:rFonts w:ascii="Arial" w:hAnsi="Arial" w:cs="Arial"/>
          <w:sz w:val="24"/>
          <w:szCs w:val="24"/>
        </w:rPr>
      </w:pPr>
    </w:p>
    <w:p w14:paraId="1F4AAC45" w14:textId="3E995728" w:rsidR="005E4CE7" w:rsidRPr="0015792A" w:rsidRDefault="005E4CE7" w:rsidP="0015792A">
      <w:pPr>
        <w:widowControl w:val="0"/>
        <w:jc w:val="center"/>
        <w:rPr>
          <w:rFonts w:ascii="Arial" w:hAnsi="Arial" w:cs="Arial"/>
          <w:b/>
          <w:bCs/>
          <w:i/>
          <w:iCs/>
          <w:sz w:val="24"/>
          <w:szCs w:val="24"/>
        </w:rPr>
      </w:pPr>
      <w:r w:rsidRPr="00EF1682">
        <w:rPr>
          <w:rFonts w:ascii="Arial" w:hAnsi="Arial" w:cs="Arial"/>
          <w:b/>
          <w:i/>
          <w:sz w:val="24"/>
          <w:szCs w:val="24"/>
        </w:rPr>
        <w:t>NAT/892</w:t>
      </w:r>
      <w:r w:rsidRPr="00EF1682">
        <w:rPr>
          <w:rFonts w:ascii="Arial" w:hAnsi="Arial" w:cs="Arial"/>
          <w:sz w:val="24"/>
          <w:szCs w:val="24"/>
        </w:rPr>
        <w:t xml:space="preserve"> </w:t>
      </w:r>
      <w:r w:rsidRPr="00EF1682">
        <w:rPr>
          <w:rFonts w:ascii="Arial" w:hAnsi="Arial" w:cs="Arial"/>
          <w:b/>
          <w:bCs/>
          <w:i/>
          <w:iCs/>
          <w:sz w:val="24"/>
          <w:szCs w:val="24"/>
        </w:rPr>
        <w:t>–</w:t>
      </w:r>
      <w:r w:rsidR="0015792A">
        <w:rPr>
          <w:rFonts w:ascii="Arial" w:hAnsi="Arial" w:cs="Arial"/>
          <w:b/>
          <w:bCs/>
          <w:i/>
          <w:iCs/>
          <w:sz w:val="24"/>
          <w:szCs w:val="24"/>
        </w:rPr>
        <w:t xml:space="preserve"> </w:t>
      </w:r>
      <w:r w:rsidR="0015792A" w:rsidRPr="0015792A">
        <w:rPr>
          <w:rFonts w:ascii="Arial" w:hAnsi="Arial" w:cs="Arial"/>
          <w:b/>
          <w:i/>
          <w:iCs/>
          <w:sz w:val="24"/>
          <w:szCs w:val="24"/>
        </w:rPr>
        <w:t>Ususret Europskom vijeću za prehrambenu politiku kao novom modelu upravljanja u budućem okviru EU-a za održive prehrambene sustave</w:t>
      </w:r>
    </w:p>
    <w:p w14:paraId="474A9DA1" w14:textId="77777777" w:rsidR="0015792A" w:rsidRPr="00EF1682" w:rsidRDefault="0015792A" w:rsidP="005E4CE7">
      <w:pPr>
        <w:tabs>
          <w:tab w:val="center" w:pos="284"/>
        </w:tabs>
        <w:ind w:left="266" w:hanging="266"/>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387"/>
      </w:tblGrid>
      <w:tr w:rsidR="005E4CE7" w:rsidRPr="00EF1682" w14:paraId="140F5146" w14:textId="77777777" w:rsidTr="00D639EC">
        <w:tc>
          <w:tcPr>
            <w:tcW w:w="1701" w:type="dxa"/>
          </w:tcPr>
          <w:p w14:paraId="0EBF9AED" w14:textId="77777777" w:rsidR="005E4CE7" w:rsidRPr="00EF1682" w:rsidRDefault="005E4CE7" w:rsidP="00D639EC">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5387" w:type="dxa"/>
          </w:tcPr>
          <w:p w14:paraId="67A730FD" w14:textId="77777777" w:rsidR="005E4CE7" w:rsidRPr="00EF1682" w:rsidRDefault="005E4CE7" w:rsidP="00D639EC">
            <w:pPr>
              <w:tabs>
                <w:tab w:val="center" w:pos="284"/>
              </w:tabs>
              <w:ind w:left="266" w:hanging="266"/>
              <w:rPr>
                <w:rFonts w:ascii="Arial" w:hAnsi="Arial" w:cs="Arial"/>
                <w:sz w:val="24"/>
                <w:szCs w:val="24"/>
              </w:rPr>
            </w:pPr>
            <w:proofErr w:type="spellStart"/>
            <w:r w:rsidRPr="00EF1682">
              <w:rPr>
                <w:rFonts w:ascii="Arial" w:hAnsi="Arial" w:cs="Arial"/>
                <w:sz w:val="24"/>
                <w:szCs w:val="24"/>
              </w:rPr>
              <w:t>Piroska</w:t>
            </w:r>
            <w:proofErr w:type="spellEnd"/>
            <w:r w:rsidRPr="00EF1682">
              <w:rPr>
                <w:rFonts w:ascii="Arial" w:hAnsi="Arial" w:cs="Arial"/>
                <w:sz w:val="24"/>
                <w:szCs w:val="24"/>
              </w:rPr>
              <w:t xml:space="preserve"> KÁLLAY</w:t>
            </w:r>
          </w:p>
        </w:tc>
      </w:tr>
      <w:tr w:rsidR="005E4CE7" w:rsidRPr="00EF1682" w14:paraId="6397E78B" w14:textId="77777777" w:rsidTr="00D639EC">
        <w:tc>
          <w:tcPr>
            <w:tcW w:w="7088" w:type="dxa"/>
            <w:gridSpan w:val="2"/>
          </w:tcPr>
          <w:p w14:paraId="2AADAB78" w14:textId="77777777" w:rsidR="005E4CE7" w:rsidRPr="00EF1682" w:rsidRDefault="005E4CE7" w:rsidP="00D639EC">
            <w:pPr>
              <w:tabs>
                <w:tab w:val="center" w:pos="284"/>
              </w:tabs>
              <w:spacing w:line="160" w:lineRule="exact"/>
              <w:ind w:left="266" w:hanging="266"/>
              <w:rPr>
                <w:rFonts w:ascii="Arial" w:hAnsi="Arial" w:cs="Arial"/>
                <w:sz w:val="24"/>
                <w:szCs w:val="24"/>
                <w:lang w:val="en-US"/>
              </w:rPr>
            </w:pPr>
          </w:p>
        </w:tc>
      </w:tr>
      <w:tr w:rsidR="005E4CE7" w:rsidRPr="00EF1682" w14:paraId="4C0AD2DA" w14:textId="77777777" w:rsidTr="00D639EC">
        <w:tc>
          <w:tcPr>
            <w:tcW w:w="1701" w:type="dxa"/>
          </w:tcPr>
          <w:p w14:paraId="559AAE3D" w14:textId="77777777" w:rsidR="005E4CE7" w:rsidRPr="00EF1682" w:rsidRDefault="005E4CE7" w:rsidP="00D639EC">
            <w:pPr>
              <w:tabs>
                <w:tab w:val="center" w:pos="0"/>
              </w:tabs>
              <w:rPr>
                <w:rFonts w:ascii="Arial" w:hAnsi="Arial" w:cs="Arial"/>
                <w:b/>
                <w:sz w:val="24"/>
                <w:szCs w:val="24"/>
              </w:rPr>
            </w:pPr>
            <w:r w:rsidRPr="00EF1682">
              <w:rPr>
                <w:rFonts w:ascii="Arial" w:hAnsi="Arial" w:cs="Arial"/>
                <w:b/>
                <w:sz w:val="24"/>
                <w:szCs w:val="24"/>
              </w:rPr>
              <w:t>Referentni dokument/i:</w:t>
            </w:r>
          </w:p>
        </w:tc>
        <w:tc>
          <w:tcPr>
            <w:tcW w:w="5387" w:type="dxa"/>
          </w:tcPr>
          <w:p w14:paraId="2A1B45D5" w14:textId="77777777" w:rsidR="005E4CE7" w:rsidRPr="00EF1682" w:rsidRDefault="005E4CE7" w:rsidP="00D639EC">
            <w:pPr>
              <w:tabs>
                <w:tab w:val="center" w:pos="284"/>
              </w:tabs>
              <w:ind w:left="266" w:hanging="266"/>
              <w:rPr>
                <w:rFonts w:ascii="Arial" w:hAnsi="Arial" w:cs="Arial"/>
                <w:sz w:val="24"/>
                <w:szCs w:val="24"/>
              </w:rPr>
            </w:pPr>
            <w:r w:rsidRPr="00EF1682">
              <w:rPr>
                <w:rFonts w:ascii="Arial" w:hAnsi="Arial" w:cs="Arial"/>
                <w:sz w:val="24"/>
                <w:szCs w:val="24"/>
              </w:rPr>
              <w:t>EESC-2023-00895-00-00-AS-TRA</w:t>
            </w:r>
          </w:p>
          <w:p w14:paraId="7352D6E4" w14:textId="77777777" w:rsidR="005E4CE7" w:rsidRPr="00EF1682" w:rsidRDefault="005E4CE7" w:rsidP="00D639EC">
            <w:pPr>
              <w:tabs>
                <w:tab w:val="center" w:pos="284"/>
              </w:tabs>
              <w:ind w:left="266" w:hanging="266"/>
              <w:rPr>
                <w:rFonts w:ascii="Arial" w:hAnsi="Arial" w:cs="Arial"/>
                <w:sz w:val="24"/>
                <w:szCs w:val="24"/>
              </w:rPr>
            </w:pPr>
            <w:r w:rsidRPr="00EF1682">
              <w:rPr>
                <w:rFonts w:ascii="Arial" w:hAnsi="Arial" w:cs="Arial"/>
                <w:sz w:val="24"/>
                <w:szCs w:val="24"/>
              </w:rPr>
              <w:t>(samoinicijativno mišljenje)</w:t>
            </w:r>
          </w:p>
        </w:tc>
      </w:tr>
    </w:tbl>
    <w:p w14:paraId="5647CFEF" w14:textId="77777777" w:rsidR="005E4CE7" w:rsidRPr="00EF1682" w:rsidRDefault="005E4CE7" w:rsidP="005E4CE7">
      <w:pPr>
        <w:keepNext/>
        <w:keepLines/>
        <w:tabs>
          <w:tab w:val="center" w:pos="284"/>
        </w:tabs>
        <w:ind w:left="266" w:hanging="266"/>
        <w:rPr>
          <w:rFonts w:ascii="Arial" w:hAnsi="Arial" w:cs="Arial"/>
          <w:b/>
          <w:sz w:val="24"/>
          <w:szCs w:val="24"/>
        </w:rPr>
      </w:pPr>
    </w:p>
    <w:p w14:paraId="6813B6A0" w14:textId="0E9AE2BE" w:rsidR="005E4CE7" w:rsidRPr="00EF1682" w:rsidRDefault="005E4CE7" w:rsidP="005E4CE7">
      <w:pPr>
        <w:keepNext/>
        <w:keepLines/>
        <w:ind w:left="266" w:hanging="124"/>
        <w:rPr>
          <w:rFonts w:ascii="Arial" w:hAnsi="Arial" w:cs="Arial"/>
          <w:b/>
          <w:sz w:val="24"/>
          <w:szCs w:val="24"/>
        </w:rPr>
      </w:pPr>
      <w:r w:rsidRPr="00EF1682">
        <w:rPr>
          <w:rFonts w:ascii="Arial" w:hAnsi="Arial" w:cs="Arial"/>
          <w:b/>
          <w:sz w:val="24"/>
          <w:szCs w:val="24"/>
        </w:rPr>
        <w:t>Ključne točke</w:t>
      </w:r>
    </w:p>
    <w:p w14:paraId="026B0C7A" w14:textId="66F95C9A" w:rsidR="005E4CE7" w:rsidRPr="00EF1682" w:rsidRDefault="005E4CE7" w:rsidP="005E4CE7">
      <w:pPr>
        <w:ind w:firstLine="142"/>
        <w:rPr>
          <w:rFonts w:ascii="Arial" w:hAnsi="Arial" w:cs="Arial"/>
          <w:bCs/>
          <w:iCs/>
          <w:sz w:val="24"/>
          <w:szCs w:val="24"/>
        </w:rPr>
      </w:pPr>
      <w:r w:rsidRPr="00EF1682">
        <w:rPr>
          <w:rFonts w:ascii="Arial" w:hAnsi="Arial" w:cs="Arial"/>
          <w:sz w:val="24"/>
          <w:szCs w:val="24"/>
        </w:rPr>
        <w:t>EGSO:</w:t>
      </w:r>
    </w:p>
    <w:p w14:paraId="5FCA5F36" w14:textId="77777777" w:rsidR="005E4CE7" w:rsidRPr="00EF1682" w:rsidRDefault="005E4CE7" w:rsidP="005E4CE7">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uvjeren je, s obzirom na ozbiljnost krize prehrambenog sustava i potrebu za brzom promjenom ponašanja, da je njegov poziv na osnivanje „Europskog vijeća za prehrambenu politiku” aktualniji nego ikad;</w:t>
      </w:r>
    </w:p>
    <w:p w14:paraId="71B391FA" w14:textId="77777777" w:rsidR="005E4CE7" w:rsidRPr="00EF1682" w:rsidRDefault="005E4CE7" w:rsidP="005E4CE7">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smatra da bi Europsko vijeće za prehrambenu politiku pomoglo u postizanju integriranijeg i participativnog pristupa stvaranju politike o hrani, ubrzalo usklađivanje politika na nacionalnoj i lokalnoj razini te razini Unije, doprinijelo jačanju održivijeg i uravnoteženijeg ruralnog i urbanog razvoja i, što je najvažnije, povećalo kvalitetu i legitimnost prehrambene politike EU-a;</w:t>
      </w:r>
    </w:p>
    <w:p w14:paraId="10F4223A" w14:textId="77777777" w:rsidR="005E4CE7" w:rsidRPr="00EF1682" w:rsidRDefault="005E4CE7" w:rsidP="005E4CE7">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 xml:space="preserve">pozdravlja najavu okvira EU-a za održive prehrambene sustave kojim će se postaviti temelji za sustavne promjene koje trebaju provesti svi dionici u lancu vrijednosti te ističe da bi Komisija morala taj okvir predložiti bez odgađanja već u sadašnjem mandatnom razdoblju kako bi se moglo pravodobno svladavati izazove povezane s prehrambenim sustavima jer bi svako kašnjenje moglo ugroziti uspjeh strategije „od polja do stola”; </w:t>
      </w:r>
    </w:p>
    <w:p w14:paraId="00D1CF09" w14:textId="77777777" w:rsidR="005E4CE7" w:rsidRPr="00EF1682" w:rsidRDefault="005E4CE7" w:rsidP="005E4CE7">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poziva Komisiju da se obveže na strukturirani angažman dionika i civilnog društva u novom upravljanju tim okvirom za održive prehrambene sustave te ističe da bi se ideja o Europskom vijeću za prehrambenu politiku mogla na odgovarajući način uklopiti u njega;</w:t>
      </w:r>
    </w:p>
    <w:p w14:paraId="0C003615" w14:textId="77777777" w:rsidR="005E4CE7" w:rsidRPr="00EF1682" w:rsidRDefault="005E4CE7" w:rsidP="005E4CE7">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prima na znanje postojanje platformi povezanih s hranom na lokalnoj, regionalnoj i nacionalnoj razini, no smatra da ti postojeći forumi nisu dovoljni za učinkovito postizanje održivog i pravednog prehrambenog sustava i spremnosti na otpornost na razini EU-a te stoga smatra da je potrebno dodatno ojačati prehrambenu demokraciju i uključiti je u proces prehrambene politike;</w:t>
      </w:r>
    </w:p>
    <w:p w14:paraId="7F2784BD" w14:textId="77777777" w:rsidR="005E4CE7" w:rsidRPr="00EF1682" w:rsidRDefault="005E4CE7" w:rsidP="005E4CE7">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 xml:space="preserve">smatra da je Europsko vijeće za prehrambenu politiku znanstveno utemeljena, </w:t>
      </w:r>
      <w:proofErr w:type="spellStart"/>
      <w:r w:rsidRPr="00EF1682">
        <w:rPr>
          <w:sz w:val="24"/>
          <w:szCs w:val="24"/>
        </w:rPr>
        <w:t>višedionička</w:t>
      </w:r>
      <w:proofErr w:type="spellEnd"/>
      <w:r w:rsidRPr="00EF1682">
        <w:rPr>
          <w:sz w:val="24"/>
          <w:szCs w:val="24"/>
        </w:rPr>
        <w:t xml:space="preserve"> i višerazinska platforma te institucionalna, neovisna struktura koju bi zajednički mogli formirati akademska i stručna javnost, akteri u lancu opskrbe hranom, akteri obrazovnog sustava i organizacije civilnog društva, predstavnici mladih i predstavnici tijela i institucija (Parlament, Vijeće, Komisija, EGSO, OR);</w:t>
      </w:r>
    </w:p>
    <w:p w14:paraId="2A1C4C72" w14:textId="77777777" w:rsidR="005E4CE7" w:rsidRPr="00EF1682" w:rsidRDefault="005E4CE7" w:rsidP="005E4CE7">
      <w:pPr>
        <w:pStyle w:val="ListParagraph"/>
        <w:numPr>
          <w:ilvl w:val="0"/>
          <w:numId w:val="15"/>
        </w:numPr>
        <w:autoSpaceDE/>
        <w:autoSpaceDN/>
        <w:adjustRightInd/>
        <w:spacing w:after="200" w:line="276" w:lineRule="auto"/>
        <w:ind w:left="709"/>
        <w:jc w:val="both"/>
        <w:rPr>
          <w:sz w:val="24"/>
          <w:szCs w:val="24"/>
        </w:rPr>
      </w:pPr>
      <w:r w:rsidRPr="00EF1682">
        <w:rPr>
          <w:sz w:val="24"/>
          <w:szCs w:val="24"/>
        </w:rPr>
        <w:t xml:space="preserve"> spreman je osigurati prostor za sastanke Europskog vijeća za prehrambenu politiku. </w:t>
      </w:r>
    </w:p>
    <w:p w14:paraId="14F16AAA" w14:textId="77777777" w:rsidR="00802F26" w:rsidRDefault="00802F26" w:rsidP="0015792A">
      <w:pPr>
        <w:widowControl w:val="0"/>
        <w:overflowPunct w:val="0"/>
        <w:autoSpaceDE w:val="0"/>
        <w:autoSpaceDN w:val="0"/>
        <w:adjustRightInd w:val="0"/>
        <w:ind w:left="720"/>
        <w:textAlignment w:val="baseline"/>
        <w:rPr>
          <w:rFonts w:ascii="Arial" w:hAnsi="Arial" w:cs="Arial"/>
          <w:b/>
          <w:i/>
          <w:sz w:val="24"/>
          <w:szCs w:val="24"/>
        </w:rPr>
      </w:pPr>
    </w:p>
    <w:p w14:paraId="108AE79E" w14:textId="77777777" w:rsidR="00802F26" w:rsidRDefault="00802F26" w:rsidP="0015792A">
      <w:pPr>
        <w:widowControl w:val="0"/>
        <w:overflowPunct w:val="0"/>
        <w:autoSpaceDE w:val="0"/>
        <w:autoSpaceDN w:val="0"/>
        <w:adjustRightInd w:val="0"/>
        <w:ind w:left="720"/>
        <w:textAlignment w:val="baseline"/>
        <w:rPr>
          <w:rFonts w:ascii="Arial" w:hAnsi="Arial" w:cs="Arial"/>
          <w:b/>
          <w:i/>
          <w:sz w:val="24"/>
          <w:szCs w:val="24"/>
        </w:rPr>
      </w:pPr>
    </w:p>
    <w:p w14:paraId="3FC127BD" w14:textId="77777777" w:rsidR="00802F26" w:rsidRDefault="00802F26" w:rsidP="0015792A">
      <w:pPr>
        <w:widowControl w:val="0"/>
        <w:overflowPunct w:val="0"/>
        <w:autoSpaceDE w:val="0"/>
        <w:autoSpaceDN w:val="0"/>
        <w:adjustRightInd w:val="0"/>
        <w:ind w:left="720"/>
        <w:textAlignment w:val="baseline"/>
        <w:rPr>
          <w:rFonts w:ascii="Arial" w:hAnsi="Arial" w:cs="Arial"/>
          <w:b/>
          <w:i/>
          <w:sz w:val="24"/>
          <w:szCs w:val="24"/>
        </w:rPr>
      </w:pPr>
    </w:p>
    <w:p w14:paraId="0A738FA2" w14:textId="3BE44894" w:rsidR="0015792A" w:rsidRPr="0015792A" w:rsidRDefault="005E4CE7" w:rsidP="0015792A">
      <w:pPr>
        <w:widowControl w:val="0"/>
        <w:overflowPunct w:val="0"/>
        <w:autoSpaceDE w:val="0"/>
        <w:autoSpaceDN w:val="0"/>
        <w:adjustRightInd w:val="0"/>
        <w:ind w:left="720"/>
        <w:textAlignment w:val="baseline"/>
        <w:rPr>
          <w:rFonts w:ascii="Arial" w:hAnsi="Arial" w:cs="Arial"/>
          <w:b/>
          <w:i/>
          <w:iCs/>
          <w:color w:val="0000FF"/>
          <w:sz w:val="24"/>
          <w:szCs w:val="24"/>
          <w:u w:val="single"/>
        </w:rPr>
      </w:pPr>
      <w:r w:rsidRPr="00EF1682">
        <w:rPr>
          <w:rFonts w:ascii="Arial" w:hAnsi="Arial" w:cs="Arial"/>
          <w:b/>
          <w:i/>
          <w:sz w:val="24"/>
          <w:szCs w:val="24"/>
        </w:rPr>
        <w:t>INT/969 –</w:t>
      </w:r>
      <w:r w:rsidR="0015792A">
        <w:rPr>
          <w:rFonts w:ascii="Arial" w:hAnsi="Arial" w:cs="Arial"/>
          <w:b/>
          <w:i/>
          <w:sz w:val="24"/>
          <w:szCs w:val="24"/>
        </w:rPr>
        <w:t>Tvrdnje o prihvatljivosti za okoliš</w:t>
      </w:r>
    </w:p>
    <w:p w14:paraId="771AE3CC" w14:textId="77777777" w:rsidR="005E4CE7" w:rsidRPr="00EF1682" w:rsidRDefault="005E4CE7" w:rsidP="005E4CE7">
      <w:pPr>
        <w:tabs>
          <w:tab w:val="center" w:pos="284"/>
        </w:tabs>
        <w:ind w:left="266" w:hanging="266"/>
        <w:rPr>
          <w:rFonts w:ascii="Arial" w:hAnsi="Arial" w:cs="Arial"/>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6860"/>
      </w:tblGrid>
      <w:tr w:rsidR="005E4CE7" w:rsidRPr="00EF1682" w14:paraId="54953162" w14:textId="77777777" w:rsidTr="00D639EC">
        <w:tc>
          <w:tcPr>
            <w:tcW w:w="1200" w:type="pct"/>
          </w:tcPr>
          <w:p w14:paraId="5DA1FC7F" w14:textId="77777777" w:rsidR="005E4CE7" w:rsidRPr="00EF1682" w:rsidRDefault="005E4CE7" w:rsidP="00D639EC">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3800" w:type="pct"/>
          </w:tcPr>
          <w:p w14:paraId="2A6089DA" w14:textId="77777777" w:rsidR="005E4CE7" w:rsidRPr="00EF1682" w:rsidRDefault="005E4CE7" w:rsidP="00D639EC">
            <w:pPr>
              <w:tabs>
                <w:tab w:val="center" w:pos="284"/>
              </w:tabs>
              <w:ind w:left="266" w:hanging="266"/>
              <w:rPr>
                <w:rFonts w:ascii="Arial" w:hAnsi="Arial" w:cs="Arial"/>
                <w:sz w:val="24"/>
                <w:szCs w:val="24"/>
              </w:rPr>
            </w:pPr>
            <w:r w:rsidRPr="00EF1682">
              <w:rPr>
                <w:rFonts w:ascii="Arial" w:hAnsi="Arial" w:cs="Arial"/>
                <w:sz w:val="24"/>
                <w:szCs w:val="24"/>
              </w:rPr>
              <w:t>Angelo PAGLIARA (Skupina radnika – IT)</w:t>
            </w:r>
          </w:p>
        </w:tc>
      </w:tr>
      <w:tr w:rsidR="005E4CE7" w:rsidRPr="00EF1682" w14:paraId="27ED3CEA" w14:textId="77777777" w:rsidTr="00D639EC">
        <w:tc>
          <w:tcPr>
            <w:tcW w:w="5000" w:type="pct"/>
            <w:gridSpan w:val="2"/>
          </w:tcPr>
          <w:p w14:paraId="7A94577D" w14:textId="77777777" w:rsidR="005E4CE7" w:rsidRPr="00EF1682" w:rsidRDefault="005E4CE7" w:rsidP="00D639EC">
            <w:pPr>
              <w:tabs>
                <w:tab w:val="center" w:pos="284"/>
              </w:tabs>
              <w:spacing w:line="160" w:lineRule="exact"/>
              <w:ind w:left="266" w:hanging="266"/>
              <w:rPr>
                <w:rFonts w:ascii="Arial" w:hAnsi="Arial" w:cs="Arial"/>
                <w:sz w:val="24"/>
                <w:szCs w:val="24"/>
                <w:lang w:val="en-US"/>
              </w:rPr>
            </w:pPr>
          </w:p>
        </w:tc>
      </w:tr>
      <w:tr w:rsidR="005E4CE7" w:rsidRPr="00EF1682" w14:paraId="5DA21F1E" w14:textId="77777777" w:rsidTr="00D639EC">
        <w:tc>
          <w:tcPr>
            <w:tcW w:w="1200" w:type="pct"/>
            <w:vMerge w:val="restart"/>
          </w:tcPr>
          <w:p w14:paraId="5346A311" w14:textId="77777777" w:rsidR="005E4CE7" w:rsidRPr="00EF1682" w:rsidRDefault="005E4CE7" w:rsidP="00D639EC">
            <w:pPr>
              <w:tabs>
                <w:tab w:val="center" w:pos="0"/>
              </w:tabs>
              <w:rPr>
                <w:rFonts w:ascii="Arial" w:hAnsi="Arial" w:cs="Arial"/>
                <w:b/>
                <w:sz w:val="24"/>
                <w:szCs w:val="24"/>
              </w:rPr>
            </w:pPr>
            <w:r w:rsidRPr="00EF1682">
              <w:rPr>
                <w:rFonts w:ascii="Arial" w:hAnsi="Arial" w:cs="Arial"/>
                <w:b/>
                <w:sz w:val="24"/>
                <w:szCs w:val="24"/>
              </w:rPr>
              <w:t>Referentni dokument/i:</w:t>
            </w:r>
          </w:p>
        </w:tc>
        <w:tc>
          <w:tcPr>
            <w:tcW w:w="3800" w:type="pct"/>
          </w:tcPr>
          <w:p w14:paraId="57EA96A5" w14:textId="77777777" w:rsidR="005E4CE7" w:rsidRPr="00EF1682" w:rsidRDefault="005E4CE7" w:rsidP="00D639EC">
            <w:pPr>
              <w:tabs>
                <w:tab w:val="center" w:pos="284"/>
              </w:tabs>
              <w:ind w:left="266" w:hanging="266"/>
              <w:rPr>
                <w:rFonts w:ascii="Arial" w:hAnsi="Arial" w:cs="Arial"/>
                <w:sz w:val="24"/>
                <w:szCs w:val="24"/>
              </w:rPr>
            </w:pPr>
            <w:r w:rsidRPr="00EF1682">
              <w:rPr>
                <w:rFonts w:ascii="Arial" w:hAnsi="Arial" w:cs="Arial"/>
                <w:sz w:val="24"/>
                <w:szCs w:val="24"/>
              </w:rPr>
              <w:t xml:space="preserve">COM(2023) 166 </w:t>
            </w:r>
            <w:proofErr w:type="spellStart"/>
            <w:r w:rsidRPr="00EF1682">
              <w:rPr>
                <w:rFonts w:ascii="Arial" w:hAnsi="Arial" w:cs="Arial"/>
                <w:sz w:val="24"/>
                <w:szCs w:val="24"/>
              </w:rPr>
              <w:t>final</w:t>
            </w:r>
            <w:proofErr w:type="spellEnd"/>
            <w:r w:rsidRPr="00EF1682">
              <w:rPr>
                <w:rFonts w:ascii="Arial" w:hAnsi="Arial" w:cs="Arial"/>
                <w:sz w:val="24"/>
                <w:szCs w:val="24"/>
              </w:rPr>
              <w:t xml:space="preserve"> – 2023/0085 (COD)</w:t>
            </w:r>
          </w:p>
        </w:tc>
      </w:tr>
      <w:tr w:rsidR="005E4CE7" w:rsidRPr="00EF1682" w14:paraId="1B23989A" w14:textId="77777777" w:rsidTr="00D639EC">
        <w:tc>
          <w:tcPr>
            <w:tcW w:w="1200" w:type="pct"/>
            <w:vMerge/>
          </w:tcPr>
          <w:p w14:paraId="2F90A04F" w14:textId="77777777" w:rsidR="005E4CE7" w:rsidRPr="00EF1682" w:rsidRDefault="005E4CE7" w:rsidP="00D639EC">
            <w:pPr>
              <w:tabs>
                <w:tab w:val="center" w:pos="284"/>
              </w:tabs>
              <w:ind w:left="266" w:hanging="266"/>
              <w:rPr>
                <w:rFonts w:ascii="Arial" w:hAnsi="Arial" w:cs="Arial"/>
                <w:b/>
                <w:sz w:val="24"/>
                <w:szCs w:val="24"/>
                <w:lang w:val="en-US"/>
              </w:rPr>
            </w:pPr>
          </w:p>
        </w:tc>
        <w:tc>
          <w:tcPr>
            <w:tcW w:w="3800" w:type="pct"/>
          </w:tcPr>
          <w:p w14:paraId="5A62CB71" w14:textId="77777777" w:rsidR="005E4CE7" w:rsidRPr="00EF1682" w:rsidRDefault="005E4CE7" w:rsidP="00D639EC">
            <w:pPr>
              <w:tabs>
                <w:tab w:val="center" w:pos="284"/>
              </w:tabs>
              <w:ind w:left="266" w:hanging="266"/>
              <w:rPr>
                <w:rFonts w:ascii="Arial" w:hAnsi="Arial" w:cs="Arial"/>
                <w:sz w:val="24"/>
                <w:szCs w:val="24"/>
              </w:rPr>
            </w:pPr>
            <w:r w:rsidRPr="00EF1682">
              <w:rPr>
                <w:rFonts w:ascii="Arial" w:hAnsi="Arial" w:cs="Arial"/>
                <w:sz w:val="24"/>
                <w:szCs w:val="24"/>
              </w:rPr>
              <w:t>EESC-2022-05381-00-00-AC-TRA</w:t>
            </w:r>
          </w:p>
        </w:tc>
      </w:tr>
    </w:tbl>
    <w:p w14:paraId="3FA20AA9" w14:textId="77777777" w:rsidR="005E4CE7" w:rsidRPr="00EF1682" w:rsidRDefault="005E4CE7" w:rsidP="005E4CE7">
      <w:pPr>
        <w:tabs>
          <w:tab w:val="center" w:pos="284"/>
        </w:tabs>
        <w:ind w:left="266" w:hanging="266"/>
        <w:rPr>
          <w:rFonts w:ascii="Arial" w:hAnsi="Arial" w:cs="Arial"/>
          <w:sz w:val="24"/>
          <w:szCs w:val="24"/>
        </w:rPr>
      </w:pPr>
    </w:p>
    <w:p w14:paraId="306EE045" w14:textId="4449A591" w:rsidR="005E4CE7" w:rsidRPr="00EF1682" w:rsidRDefault="005E4CE7" w:rsidP="0015792A">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67187B38" w14:textId="0EB802A1" w:rsidR="005E4CE7" w:rsidRPr="00EF1682" w:rsidRDefault="005E4CE7" w:rsidP="005E4CE7">
      <w:pPr>
        <w:rPr>
          <w:rFonts w:ascii="Arial" w:hAnsi="Arial" w:cs="Arial"/>
          <w:bCs/>
          <w:iCs/>
          <w:sz w:val="24"/>
          <w:szCs w:val="24"/>
        </w:rPr>
      </w:pPr>
      <w:r w:rsidRPr="00EF1682">
        <w:rPr>
          <w:rFonts w:ascii="Arial" w:hAnsi="Arial" w:cs="Arial"/>
          <w:sz w:val="24"/>
          <w:szCs w:val="24"/>
        </w:rPr>
        <w:t>EGSO:</w:t>
      </w:r>
    </w:p>
    <w:p w14:paraId="313BEFF5" w14:textId="77777777" w:rsidR="005E4CE7" w:rsidRPr="00802F26" w:rsidRDefault="005E4CE7" w:rsidP="005E4CE7">
      <w:pPr>
        <w:pStyle w:val="ListParagraph"/>
        <w:widowControl/>
        <w:numPr>
          <w:ilvl w:val="0"/>
          <w:numId w:val="15"/>
        </w:numPr>
        <w:autoSpaceDE/>
        <w:autoSpaceDN/>
        <w:adjustRightInd/>
        <w:spacing w:line="288" w:lineRule="auto"/>
        <w:contextualSpacing w:val="0"/>
        <w:jc w:val="both"/>
        <w:rPr>
          <w:sz w:val="24"/>
          <w:szCs w:val="24"/>
        </w:rPr>
      </w:pPr>
      <w:r w:rsidRPr="00802F26">
        <w:rPr>
          <w:sz w:val="24"/>
          <w:szCs w:val="24"/>
        </w:rPr>
        <w:t xml:space="preserve">poziva Komisiju da se pobrine za to da zahtjevi postavljeni u Direktivi o tvrdnjama o prihvatljivosti za okoliš postanu model minimalne razine zaštite od manipulativnog zelenog marketinga i da se odraze i u sektorskom zakonodavstvu koje je isključeno iz područja primjene te direktive kad su njime obuhvaćene određene dobrovoljne tvrdnje i označivanje; </w:t>
      </w:r>
    </w:p>
    <w:p w14:paraId="637150F6" w14:textId="77777777" w:rsidR="005E4CE7" w:rsidRPr="00802F26" w:rsidRDefault="005E4CE7" w:rsidP="005E4CE7">
      <w:pPr>
        <w:pStyle w:val="ListParagraph"/>
        <w:widowControl/>
        <w:numPr>
          <w:ilvl w:val="0"/>
          <w:numId w:val="15"/>
        </w:numPr>
        <w:autoSpaceDE/>
        <w:autoSpaceDN/>
        <w:adjustRightInd/>
        <w:spacing w:line="288" w:lineRule="auto"/>
        <w:contextualSpacing w:val="0"/>
        <w:jc w:val="both"/>
        <w:rPr>
          <w:sz w:val="24"/>
          <w:szCs w:val="24"/>
        </w:rPr>
      </w:pPr>
      <w:r w:rsidRPr="00802F26">
        <w:rPr>
          <w:sz w:val="24"/>
          <w:szCs w:val="24"/>
        </w:rPr>
        <w:t>ukazuje na sve veću zabrinutost zbog širenja tvrdnji o prihvatljivosti za okoliš na temelju nadoknada korištenjem kredita za kompenzaciju emisija ugljika te poziva Komisiju da uvede jasnu zabranu tvrdnji na temelju kompenzacije;</w:t>
      </w:r>
    </w:p>
    <w:p w14:paraId="0D3BC7BC" w14:textId="77777777" w:rsidR="005E4CE7" w:rsidRPr="00802F26" w:rsidRDefault="005E4CE7" w:rsidP="005E4CE7">
      <w:pPr>
        <w:pStyle w:val="ListParagraph"/>
        <w:widowControl/>
        <w:numPr>
          <w:ilvl w:val="0"/>
          <w:numId w:val="15"/>
        </w:numPr>
        <w:autoSpaceDE/>
        <w:autoSpaceDN/>
        <w:adjustRightInd/>
        <w:spacing w:line="288" w:lineRule="auto"/>
        <w:contextualSpacing w:val="0"/>
        <w:jc w:val="both"/>
        <w:rPr>
          <w:sz w:val="24"/>
          <w:szCs w:val="24"/>
        </w:rPr>
      </w:pPr>
      <w:r w:rsidRPr="00802F26">
        <w:rPr>
          <w:sz w:val="24"/>
          <w:szCs w:val="24"/>
        </w:rPr>
        <w:t>pozdravlja najavljenu namjeru povećanja pravne sigurnosti tvrdnji o prihvatljivosti za okoliš i poziva Komisiju da osigura odgovarajuće uvjete za jačanje konkurentnosti jedinstvenog tržišta, posebno uvođenjem zajedničkih metodologija za potkrepljivanje različitih vrsta tvrdnji;</w:t>
      </w:r>
    </w:p>
    <w:p w14:paraId="496A2D05" w14:textId="77777777" w:rsidR="005E4CE7" w:rsidRPr="00802F26" w:rsidRDefault="005E4CE7" w:rsidP="005E4CE7">
      <w:pPr>
        <w:pStyle w:val="ListParagraph"/>
        <w:widowControl/>
        <w:numPr>
          <w:ilvl w:val="0"/>
          <w:numId w:val="15"/>
        </w:numPr>
        <w:autoSpaceDE/>
        <w:autoSpaceDN/>
        <w:adjustRightInd/>
        <w:spacing w:line="288" w:lineRule="auto"/>
        <w:contextualSpacing w:val="0"/>
        <w:jc w:val="both"/>
        <w:rPr>
          <w:sz w:val="24"/>
          <w:szCs w:val="24"/>
        </w:rPr>
      </w:pPr>
      <w:r w:rsidRPr="00802F26">
        <w:rPr>
          <w:sz w:val="24"/>
          <w:szCs w:val="24"/>
        </w:rPr>
        <w:t>predlaže odredbu o redovitim unakrsnim provjerama između nacionalnih tijela s jedne strane i socijalnih partnera i civilnog društva na nacionalnoj razini s druge strane.</w:t>
      </w:r>
    </w:p>
    <w:p w14:paraId="094DFBBA" w14:textId="77777777" w:rsidR="005E4CE7" w:rsidRPr="00802F26" w:rsidRDefault="005E4CE7" w:rsidP="005E4CE7">
      <w:pPr>
        <w:widowControl w:val="0"/>
        <w:ind w:left="709"/>
        <w:rPr>
          <w:rFonts w:ascii="Arial" w:hAnsi="Arial" w:cs="Arial"/>
          <w:sz w:val="24"/>
          <w:szCs w:val="24"/>
        </w:rPr>
      </w:pPr>
    </w:p>
    <w:p w14:paraId="6A694BCD" w14:textId="7EDD4711" w:rsidR="005E4CE7" w:rsidRDefault="005E4CE7" w:rsidP="0015792A">
      <w:pPr>
        <w:widowControl w:val="0"/>
        <w:overflowPunct w:val="0"/>
        <w:autoSpaceDE w:val="0"/>
        <w:autoSpaceDN w:val="0"/>
        <w:adjustRightInd w:val="0"/>
        <w:ind w:left="567"/>
        <w:textAlignment w:val="baseline"/>
        <w:rPr>
          <w:rFonts w:ascii="Arial" w:hAnsi="Arial" w:cs="Arial"/>
          <w:b/>
          <w:sz w:val="24"/>
          <w:szCs w:val="24"/>
        </w:rPr>
      </w:pPr>
      <w:r w:rsidRPr="00EF1682">
        <w:rPr>
          <w:rFonts w:ascii="Arial" w:hAnsi="Arial" w:cs="Arial"/>
          <w:b/>
          <w:i/>
          <w:sz w:val="24"/>
          <w:szCs w:val="24"/>
        </w:rPr>
        <w:t>INT/1015 –</w:t>
      </w:r>
      <w:r w:rsidR="0015792A" w:rsidRPr="0015792A">
        <w:rPr>
          <w:rFonts w:ascii="Arial" w:hAnsi="Arial" w:cs="Arial"/>
          <w:b/>
          <w:i/>
          <w:iCs/>
          <w:sz w:val="24"/>
          <w:szCs w:val="24"/>
        </w:rPr>
        <w:t>Pravo na popravak</w:t>
      </w:r>
    </w:p>
    <w:p w14:paraId="2D94D0D0" w14:textId="77777777" w:rsidR="0015792A" w:rsidRPr="0015792A" w:rsidRDefault="0015792A" w:rsidP="0015792A">
      <w:pPr>
        <w:widowControl w:val="0"/>
        <w:overflowPunct w:val="0"/>
        <w:autoSpaceDE w:val="0"/>
        <w:autoSpaceDN w:val="0"/>
        <w:adjustRightInd w:val="0"/>
        <w:ind w:left="567"/>
        <w:textAlignment w:val="baseline"/>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5387"/>
      </w:tblGrid>
      <w:tr w:rsidR="005E4CE7" w:rsidRPr="00EF1682" w14:paraId="09D4C29E" w14:textId="77777777" w:rsidTr="00D639EC">
        <w:tc>
          <w:tcPr>
            <w:tcW w:w="1701" w:type="dxa"/>
          </w:tcPr>
          <w:p w14:paraId="648DDC53" w14:textId="77777777" w:rsidR="005E4CE7" w:rsidRPr="00EF1682" w:rsidRDefault="005E4CE7" w:rsidP="00D639EC">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5387" w:type="dxa"/>
          </w:tcPr>
          <w:p w14:paraId="314A48BA" w14:textId="77777777" w:rsidR="005E4CE7" w:rsidRPr="00EF1682" w:rsidRDefault="005E4CE7" w:rsidP="00D639EC">
            <w:pPr>
              <w:tabs>
                <w:tab w:val="center" w:pos="284"/>
              </w:tabs>
              <w:ind w:left="266" w:hanging="266"/>
              <w:rPr>
                <w:rFonts w:ascii="Arial" w:hAnsi="Arial" w:cs="Arial"/>
                <w:sz w:val="24"/>
                <w:szCs w:val="24"/>
              </w:rPr>
            </w:pPr>
            <w:proofErr w:type="spellStart"/>
            <w:r w:rsidRPr="00EF1682">
              <w:rPr>
                <w:rFonts w:ascii="Arial" w:hAnsi="Arial" w:cs="Arial"/>
                <w:sz w:val="24"/>
                <w:szCs w:val="24"/>
              </w:rPr>
              <w:t>Thierry</w:t>
            </w:r>
            <w:proofErr w:type="spellEnd"/>
            <w:r w:rsidRPr="00EF1682">
              <w:rPr>
                <w:rFonts w:ascii="Arial" w:hAnsi="Arial" w:cs="Arial"/>
                <w:sz w:val="24"/>
                <w:szCs w:val="24"/>
              </w:rPr>
              <w:t xml:space="preserve"> LIBAERT (Skupina „Raznolikost Europe” – FR)</w:t>
            </w:r>
          </w:p>
        </w:tc>
      </w:tr>
      <w:tr w:rsidR="005E4CE7" w:rsidRPr="00EF1682" w14:paraId="4175E750" w14:textId="77777777" w:rsidTr="00D639EC">
        <w:tc>
          <w:tcPr>
            <w:tcW w:w="1701" w:type="dxa"/>
          </w:tcPr>
          <w:p w14:paraId="423ADFF8" w14:textId="77777777" w:rsidR="005E4CE7" w:rsidRPr="00EF1682" w:rsidRDefault="005E4CE7" w:rsidP="00D639EC">
            <w:pPr>
              <w:tabs>
                <w:tab w:val="center" w:pos="284"/>
              </w:tabs>
              <w:ind w:left="266" w:hanging="266"/>
              <w:rPr>
                <w:rFonts w:ascii="Arial" w:hAnsi="Arial" w:cs="Arial"/>
                <w:b/>
                <w:sz w:val="24"/>
                <w:szCs w:val="24"/>
              </w:rPr>
            </w:pPr>
            <w:r w:rsidRPr="00EF1682">
              <w:rPr>
                <w:rFonts w:ascii="Arial" w:hAnsi="Arial" w:cs="Arial"/>
                <w:b/>
                <w:sz w:val="24"/>
                <w:szCs w:val="24"/>
              </w:rPr>
              <w:t>Suizvjestitelj/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5387" w:type="dxa"/>
          </w:tcPr>
          <w:p w14:paraId="67AF0C40" w14:textId="77777777" w:rsidR="005E4CE7" w:rsidRPr="00EF1682" w:rsidRDefault="005E4CE7" w:rsidP="00D639EC">
            <w:pPr>
              <w:tabs>
                <w:tab w:val="center" w:pos="284"/>
              </w:tabs>
              <w:ind w:left="266" w:hanging="266"/>
              <w:rPr>
                <w:rFonts w:ascii="Arial" w:hAnsi="Arial" w:cs="Arial"/>
                <w:sz w:val="24"/>
                <w:szCs w:val="24"/>
              </w:rPr>
            </w:pPr>
            <w:proofErr w:type="spellStart"/>
            <w:r w:rsidRPr="00EF1682">
              <w:rPr>
                <w:rFonts w:ascii="Arial" w:hAnsi="Arial" w:cs="Arial"/>
                <w:sz w:val="24"/>
                <w:szCs w:val="24"/>
              </w:rPr>
              <w:t>Émilie</w:t>
            </w:r>
            <w:proofErr w:type="spellEnd"/>
            <w:r w:rsidRPr="00EF1682">
              <w:rPr>
                <w:rFonts w:ascii="Arial" w:hAnsi="Arial" w:cs="Arial"/>
                <w:sz w:val="24"/>
                <w:szCs w:val="24"/>
              </w:rPr>
              <w:t xml:space="preserve"> PROUZET (Skupina poslodavaca – FR)</w:t>
            </w:r>
          </w:p>
        </w:tc>
      </w:tr>
      <w:tr w:rsidR="005E4CE7" w:rsidRPr="00EF1682" w14:paraId="6F2A54A9" w14:textId="77777777" w:rsidTr="00D639EC">
        <w:tc>
          <w:tcPr>
            <w:tcW w:w="7088" w:type="dxa"/>
            <w:gridSpan w:val="2"/>
          </w:tcPr>
          <w:p w14:paraId="6337CFC3" w14:textId="77777777" w:rsidR="005E4CE7" w:rsidRPr="00EF1682" w:rsidRDefault="005E4CE7" w:rsidP="00D639EC">
            <w:pPr>
              <w:tabs>
                <w:tab w:val="center" w:pos="284"/>
              </w:tabs>
              <w:spacing w:line="160" w:lineRule="exact"/>
              <w:ind w:left="266" w:hanging="266"/>
              <w:rPr>
                <w:rFonts w:ascii="Arial" w:hAnsi="Arial" w:cs="Arial"/>
                <w:sz w:val="24"/>
                <w:szCs w:val="24"/>
                <w:lang w:val="sk-SK"/>
              </w:rPr>
            </w:pPr>
          </w:p>
        </w:tc>
      </w:tr>
      <w:tr w:rsidR="005E4CE7" w:rsidRPr="00EF1682" w14:paraId="327EF04B" w14:textId="77777777" w:rsidTr="00D639EC">
        <w:tc>
          <w:tcPr>
            <w:tcW w:w="1701" w:type="dxa"/>
            <w:vMerge w:val="restart"/>
          </w:tcPr>
          <w:p w14:paraId="45FEDC05" w14:textId="77777777" w:rsidR="005E4CE7" w:rsidRPr="00EF1682" w:rsidRDefault="005E4CE7" w:rsidP="00D639EC">
            <w:pPr>
              <w:tabs>
                <w:tab w:val="center" w:pos="284"/>
              </w:tabs>
              <w:ind w:left="266" w:hanging="266"/>
              <w:rPr>
                <w:rFonts w:ascii="Arial" w:hAnsi="Arial" w:cs="Arial"/>
                <w:b/>
                <w:sz w:val="24"/>
                <w:szCs w:val="24"/>
              </w:rPr>
            </w:pPr>
            <w:r w:rsidRPr="00EF1682">
              <w:rPr>
                <w:rFonts w:ascii="Arial" w:hAnsi="Arial" w:cs="Arial"/>
                <w:b/>
                <w:sz w:val="24"/>
                <w:szCs w:val="24"/>
              </w:rPr>
              <w:t xml:space="preserve">Referentni dokument/i: </w:t>
            </w:r>
          </w:p>
        </w:tc>
        <w:tc>
          <w:tcPr>
            <w:tcW w:w="5387" w:type="dxa"/>
          </w:tcPr>
          <w:p w14:paraId="5D4B72C6" w14:textId="77777777" w:rsidR="005E4CE7" w:rsidRPr="00EF1682" w:rsidRDefault="005E4CE7" w:rsidP="00D639EC">
            <w:pPr>
              <w:tabs>
                <w:tab w:val="center" w:pos="284"/>
              </w:tabs>
              <w:ind w:left="266" w:hanging="266"/>
              <w:rPr>
                <w:rFonts w:ascii="Arial" w:hAnsi="Arial" w:cs="Arial"/>
                <w:sz w:val="24"/>
                <w:szCs w:val="24"/>
              </w:rPr>
            </w:pPr>
            <w:r w:rsidRPr="00EF1682">
              <w:rPr>
                <w:rFonts w:ascii="Arial" w:hAnsi="Arial" w:cs="Arial"/>
                <w:sz w:val="24"/>
                <w:szCs w:val="24"/>
              </w:rPr>
              <w:t xml:space="preserve">COM(2023) 155 </w:t>
            </w:r>
            <w:proofErr w:type="spellStart"/>
            <w:r w:rsidRPr="00EF1682">
              <w:rPr>
                <w:rFonts w:ascii="Arial" w:hAnsi="Arial" w:cs="Arial"/>
                <w:sz w:val="24"/>
                <w:szCs w:val="24"/>
              </w:rPr>
              <w:t>final</w:t>
            </w:r>
            <w:proofErr w:type="spellEnd"/>
          </w:p>
        </w:tc>
      </w:tr>
      <w:tr w:rsidR="005E4CE7" w:rsidRPr="00EF1682" w14:paraId="706F03DD" w14:textId="77777777" w:rsidTr="00D639EC">
        <w:tc>
          <w:tcPr>
            <w:tcW w:w="1701" w:type="dxa"/>
            <w:vMerge/>
          </w:tcPr>
          <w:p w14:paraId="4AD54955" w14:textId="77777777" w:rsidR="005E4CE7" w:rsidRPr="00EF1682" w:rsidRDefault="005E4CE7" w:rsidP="00D639EC">
            <w:pPr>
              <w:tabs>
                <w:tab w:val="center" w:pos="284"/>
              </w:tabs>
              <w:ind w:left="266" w:hanging="266"/>
              <w:rPr>
                <w:rFonts w:ascii="Arial" w:hAnsi="Arial" w:cs="Arial"/>
                <w:b/>
                <w:sz w:val="24"/>
                <w:szCs w:val="24"/>
              </w:rPr>
            </w:pPr>
          </w:p>
        </w:tc>
        <w:tc>
          <w:tcPr>
            <w:tcW w:w="5387" w:type="dxa"/>
          </w:tcPr>
          <w:p w14:paraId="736B24C8" w14:textId="77777777" w:rsidR="005E4CE7" w:rsidRPr="00EF1682" w:rsidRDefault="005E4CE7" w:rsidP="00D639EC">
            <w:pPr>
              <w:tabs>
                <w:tab w:val="center" w:pos="284"/>
              </w:tabs>
              <w:ind w:left="266" w:hanging="266"/>
              <w:rPr>
                <w:rFonts w:ascii="Arial" w:hAnsi="Arial" w:cs="Arial"/>
                <w:sz w:val="24"/>
                <w:szCs w:val="24"/>
              </w:rPr>
            </w:pPr>
            <w:r w:rsidRPr="00EF1682">
              <w:rPr>
                <w:rFonts w:ascii="Arial" w:hAnsi="Arial" w:cs="Arial"/>
                <w:sz w:val="24"/>
                <w:szCs w:val="24"/>
              </w:rPr>
              <w:t>EESC-2023-01158-00-00-AC-TRA</w:t>
            </w:r>
          </w:p>
        </w:tc>
      </w:tr>
    </w:tbl>
    <w:p w14:paraId="6DF4352F" w14:textId="77777777" w:rsidR="005E4CE7" w:rsidRPr="00EF1682" w:rsidRDefault="005E4CE7" w:rsidP="005E4CE7">
      <w:pPr>
        <w:tabs>
          <w:tab w:val="center" w:pos="284"/>
        </w:tabs>
        <w:ind w:left="266" w:hanging="266"/>
        <w:rPr>
          <w:rFonts w:ascii="Arial" w:hAnsi="Arial" w:cs="Arial"/>
          <w:sz w:val="24"/>
          <w:szCs w:val="24"/>
        </w:rPr>
      </w:pPr>
    </w:p>
    <w:p w14:paraId="163C0D67" w14:textId="3074ED55" w:rsidR="005E4CE7" w:rsidRPr="00EF1682" w:rsidRDefault="005E4CE7" w:rsidP="005E4CE7">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2368A15E" w14:textId="10C1B39E" w:rsidR="005E4CE7" w:rsidRPr="00EF1682" w:rsidRDefault="005E4CE7" w:rsidP="005E4CE7">
      <w:pPr>
        <w:rPr>
          <w:rFonts w:ascii="Arial" w:hAnsi="Arial" w:cs="Arial"/>
          <w:bCs/>
          <w:iCs/>
          <w:sz w:val="24"/>
          <w:szCs w:val="24"/>
        </w:rPr>
      </w:pPr>
      <w:r w:rsidRPr="00EF1682">
        <w:rPr>
          <w:rFonts w:ascii="Arial" w:hAnsi="Arial" w:cs="Arial"/>
          <w:sz w:val="24"/>
          <w:szCs w:val="24"/>
        </w:rPr>
        <w:t>EGSO:</w:t>
      </w:r>
    </w:p>
    <w:p w14:paraId="000361AD" w14:textId="77777777" w:rsidR="005E4CE7" w:rsidRPr="00802F26" w:rsidRDefault="005E4CE7" w:rsidP="005E4CE7">
      <w:pPr>
        <w:widowControl w:val="0"/>
        <w:numPr>
          <w:ilvl w:val="0"/>
          <w:numId w:val="3"/>
        </w:numPr>
        <w:overflowPunct w:val="0"/>
        <w:autoSpaceDE w:val="0"/>
        <w:autoSpaceDN w:val="0"/>
        <w:adjustRightInd w:val="0"/>
        <w:ind w:left="709" w:hanging="425"/>
        <w:textAlignment w:val="baseline"/>
        <w:rPr>
          <w:rFonts w:ascii="Arial" w:hAnsi="Arial" w:cs="Arial"/>
          <w:bCs/>
          <w:sz w:val="24"/>
          <w:szCs w:val="24"/>
        </w:rPr>
      </w:pPr>
      <w:r w:rsidRPr="00802F26">
        <w:rPr>
          <w:rFonts w:ascii="Arial" w:hAnsi="Arial" w:cs="Arial"/>
          <w:bCs/>
          <w:sz w:val="24"/>
          <w:szCs w:val="24"/>
        </w:rPr>
        <w:t xml:space="preserve">pozdravlja paket prijedloga Komisije čija je svrha olakšati mogućnost popravka proizvoda i uvođenjem mjera od faze dizajna do kraja životnog ciklusa proizvoda osigurati da ta mogućnost bude pravodobna i da se doista može iskoristiti; </w:t>
      </w:r>
    </w:p>
    <w:p w14:paraId="1CC6EB1D" w14:textId="77777777" w:rsidR="005E4CE7" w:rsidRPr="00EF1682" w:rsidRDefault="005E4CE7" w:rsidP="005E4CE7">
      <w:pPr>
        <w:widowControl w:val="0"/>
        <w:numPr>
          <w:ilvl w:val="0"/>
          <w:numId w:val="3"/>
        </w:numPr>
        <w:overflowPunct w:val="0"/>
        <w:autoSpaceDE w:val="0"/>
        <w:autoSpaceDN w:val="0"/>
        <w:adjustRightInd w:val="0"/>
        <w:ind w:left="709" w:hanging="425"/>
        <w:textAlignment w:val="baseline"/>
        <w:rPr>
          <w:rFonts w:ascii="Arial" w:hAnsi="Arial" w:cs="Arial"/>
          <w:sz w:val="24"/>
          <w:szCs w:val="24"/>
        </w:rPr>
      </w:pPr>
      <w:r w:rsidRPr="00802F26">
        <w:rPr>
          <w:rFonts w:ascii="Arial" w:hAnsi="Arial" w:cs="Arial"/>
          <w:bCs/>
          <w:sz w:val="24"/>
          <w:szCs w:val="24"/>
        </w:rPr>
        <w:t>ističe da se pravo na popravak može ojačati boljim informiranjem potrošača: stoga je uspostava nacionalne platforme na kojoj bi se objavljivale sve informacije pozitivan korak,</w:t>
      </w:r>
      <w:r w:rsidRPr="00EF1682">
        <w:rPr>
          <w:rFonts w:ascii="Arial" w:hAnsi="Arial" w:cs="Arial"/>
          <w:sz w:val="24"/>
          <w:szCs w:val="24"/>
        </w:rPr>
        <w:t xml:space="preserve"> ali je potrebno precizno utvrditi uvjete za njezinu uspostavu i ažuriranje;</w:t>
      </w:r>
    </w:p>
    <w:p w14:paraId="16367308" w14:textId="77777777" w:rsidR="005E4CE7" w:rsidRPr="00802F26" w:rsidRDefault="005E4CE7" w:rsidP="005E4CE7">
      <w:pPr>
        <w:widowControl w:val="0"/>
        <w:numPr>
          <w:ilvl w:val="0"/>
          <w:numId w:val="3"/>
        </w:numPr>
        <w:overflowPunct w:val="0"/>
        <w:autoSpaceDE w:val="0"/>
        <w:autoSpaceDN w:val="0"/>
        <w:adjustRightInd w:val="0"/>
        <w:ind w:left="709" w:hanging="425"/>
        <w:textAlignment w:val="baseline"/>
        <w:rPr>
          <w:rFonts w:ascii="Arial" w:hAnsi="Arial" w:cs="Arial"/>
          <w:sz w:val="24"/>
          <w:szCs w:val="24"/>
        </w:rPr>
      </w:pPr>
      <w:r w:rsidRPr="00802F26">
        <w:rPr>
          <w:rFonts w:ascii="Arial" w:hAnsi="Arial" w:cs="Arial"/>
          <w:sz w:val="24"/>
          <w:szCs w:val="24"/>
        </w:rPr>
        <w:t>smatra da bi pooštrenje obveze distributera da osigura popravak trebalo biti popraćeno stvarnom primjenom prava na pravni lijek kojim bi distributeri raspolagali u odnosu na proizvođače, posebno u pogledu rezervnih dijelova i troškova;</w:t>
      </w:r>
    </w:p>
    <w:p w14:paraId="41E7C3C0" w14:textId="77777777" w:rsidR="005E4CE7" w:rsidRPr="00802F26" w:rsidRDefault="005E4CE7" w:rsidP="005E4CE7">
      <w:pPr>
        <w:widowControl w:val="0"/>
        <w:numPr>
          <w:ilvl w:val="0"/>
          <w:numId w:val="3"/>
        </w:numPr>
        <w:overflowPunct w:val="0"/>
        <w:autoSpaceDE w:val="0"/>
        <w:autoSpaceDN w:val="0"/>
        <w:adjustRightInd w:val="0"/>
        <w:ind w:left="709" w:hanging="425"/>
        <w:textAlignment w:val="baseline"/>
        <w:rPr>
          <w:rFonts w:ascii="Arial" w:hAnsi="Arial" w:cs="Arial"/>
          <w:sz w:val="24"/>
          <w:szCs w:val="24"/>
        </w:rPr>
      </w:pPr>
      <w:r w:rsidRPr="00802F26">
        <w:rPr>
          <w:rFonts w:ascii="Arial" w:hAnsi="Arial" w:cs="Arial"/>
          <w:sz w:val="24"/>
          <w:szCs w:val="24"/>
        </w:rPr>
        <w:t>poziva Komisiju da u kontekstu tekuće modernizacije okvira intelektualnog vlasništva ocijeni preporučljivost poticanja razmjene podataka u vezi s rezervnim dijelovima i mogućnošću popravka;</w:t>
      </w:r>
    </w:p>
    <w:p w14:paraId="734D63AB" w14:textId="77777777" w:rsidR="005E4CE7" w:rsidRPr="00802F26" w:rsidRDefault="005E4CE7" w:rsidP="005E4CE7">
      <w:pPr>
        <w:widowControl w:val="0"/>
        <w:numPr>
          <w:ilvl w:val="0"/>
          <w:numId w:val="3"/>
        </w:numPr>
        <w:overflowPunct w:val="0"/>
        <w:autoSpaceDE w:val="0"/>
        <w:autoSpaceDN w:val="0"/>
        <w:adjustRightInd w:val="0"/>
        <w:ind w:left="709" w:hanging="425"/>
        <w:textAlignment w:val="baseline"/>
        <w:rPr>
          <w:rFonts w:ascii="Arial" w:hAnsi="Arial" w:cs="Arial"/>
          <w:sz w:val="24"/>
          <w:szCs w:val="24"/>
        </w:rPr>
      </w:pPr>
      <w:r w:rsidRPr="00802F26">
        <w:rPr>
          <w:rFonts w:ascii="Arial" w:hAnsi="Arial" w:cs="Arial"/>
          <w:sz w:val="24"/>
          <w:szCs w:val="24"/>
        </w:rPr>
        <w:t xml:space="preserve">smatra da se pravo na popravak mora temeljiti i na zabrani određenih praksi, primjerice </w:t>
      </w:r>
      <w:proofErr w:type="spellStart"/>
      <w:r w:rsidRPr="00802F26">
        <w:rPr>
          <w:rFonts w:ascii="Arial" w:hAnsi="Arial" w:cs="Arial"/>
          <w:sz w:val="24"/>
          <w:szCs w:val="24"/>
        </w:rPr>
        <w:t>serijalizacije</w:t>
      </w:r>
      <w:proofErr w:type="spellEnd"/>
      <w:r w:rsidRPr="00802F26">
        <w:rPr>
          <w:rFonts w:ascii="Arial" w:hAnsi="Arial" w:cs="Arial"/>
          <w:sz w:val="24"/>
          <w:szCs w:val="24"/>
        </w:rPr>
        <w:t>, kojima se popravak namjerno otežava;</w:t>
      </w:r>
    </w:p>
    <w:p w14:paraId="7AF58137" w14:textId="77777777" w:rsidR="005E4CE7" w:rsidRPr="00802F26" w:rsidRDefault="005E4CE7" w:rsidP="005E4CE7">
      <w:pPr>
        <w:widowControl w:val="0"/>
        <w:numPr>
          <w:ilvl w:val="0"/>
          <w:numId w:val="3"/>
        </w:numPr>
        <w:overflowPunct w:val="0"/>
        <w:autoSpaceDE w:val="0"/>
        <w:autoSpaceDN w:val="0"/>
        <w:adjustRightInd w:val="0"/>
        <w:ind w:left="709" w:hanging="425"/>
        <w:textAlignment w:val="baseline"/>
        <w:rPr>
          <w:rFonts w:ascii="Arial" w:hAnsi="Arial" w:cs="Arial"/>
          <w:sz w:val="24"/>
          <w:szCs w:val="24"/>
        </w:rPr>
      </w:pPr>
      <w:r w:rsidRPr="00802F26">
        <w:rPr>
          <w:rFonts w:ascii="Arial" w:hAnsi="Arial" w:cs="Arial"/>
          <w:sz w:val="24"/>
          <w:szCs w:val="24"/>
        </w:rPr>
        <w:t>smatra da su troškovi jedna od glavnih prepreka popravku te stoga potiče mjere za povećanje konkurentnosti tržišta rabljenih materijala te sigurnih i recikliranih rezervnih dijelova jačanjem njegove infrastrukture i donošenjem odgovarajućeg zakonodavstva.</w:t>
      </w:r>
    </w:p>
    <w:p w14:paraId="76186327" w14:textId="77777777" w:rsidR="002E66B3" w:rsidRPr="00EF1682" w:rsidRDefault="002E66B3" w:rsidP="002E66B3">
      <w:pPr>
        <w:rPr>
          <w:rFonts w:ascii="Arial" w:hAnsi="Arial" w:cs="Arial"/>
          <w:sz w:val="24"/>
          <w:szCs w:val="24"/>
        </w:rPr>
      </w:pPr>
    </w:p>
    <w:p w14:paraId="2BA47E29" w14:textId="7E264F1E" w:rsidR="00EF1682" w:rsidRPr="0015792A" w:rsidRDefault="00EF1682" w:rsidP="0015792A">
      <w:pPr>
        <w:pStyle w:val="ListParagraph"/>
        <w:autoSpaceDE/>
        <w:autoSpaceDN/>
        <w:adjustRightInd/>
        <w:spacing w:after="200" w:line="276" w:lineRule="auto"/>
        <w:ind w:left="567"/>
        <w:rPr>
          <w:b/>
          <w:bCs/>
          <w:i/>
          <w:iCs/>
          <w:sz w:val="24"/>
          <w:szCs w:val="24"/>
        </w:rPr>
      </w:pPr>
      <w:r w:rsidRPr="00EF1682">
        <w:rPr>
          <w:b/>
          <w:i/>
          <w:sz w:val="24"/>
          <w:szCs w:val="24"/>
        </w:rPr>
        <w:t>Dosje NAT/900 –</w:t>
      </w:r>
      <w:r w:rsidR="0015792A">
        <w:rPr>
          <w:b/>
          <w:i/>
          <w:iCs/>
          <w:sz w:val="24"/>
          <w:szCs w:val="24"/>
        </w:rPr>
        <w:t xml:space="preserve">Digitalno označavanje </w:t>
      </w:r>
      <w:proofErr w:type="spellStart"/>
      <w:r w:rsidR="0015792A">
        <w:rPr>
          <w:b/>
          <w:i/>
          <w:iCs/>
          <w:sz w:val="24"/>
          <w:szCs w:val="24"/>
        </w:rPr>
        <w:t>gnojidbenih</w:t>
      </w:r>
      <w:proofErr w:type="spellEnd"/>
      <w:r w:rsidR="0015792A">
        <w:rPr>
          <w:b/>
          <w:i/>
          <w:iCs/>
          <w:sz w:val="24"/>
          <w:szCs w:val="24"/>
        </w:rPr>
        <w:t xml:space="preserve"> proizvoda EU-a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6860"/>
      </w:tblGrid>
      <w:tr w:rsidR="00EF1682" w:rsidRPr="00EF1682" w14:paraId="02F320C9" w14:textId="77777777" w:rsidTr="00D639EC">
        <w:tc>
          <w:tcPr>
            <w:tcW w:w="1200" w:type="pct"/>
          </w:tcPr>
          <w:p w14:paraId="6088C329" w14:textId="77777777" w:rsidR="00EF1682" w:rsidRPr="00EF1682" w:rsidRDefault="00EF1682" w:rsidP="00D639EC">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3800" w:type="pct"/>
          </w:tcPr>
          <w:p w14:paraId="79B3D4AE" w14:textId="77777777" w:rsidR="00EF1682" w:rsidRPr="00EF1682" w:rsidRDefault="00EF1682" w:rsidP="00D639EC">
            <w:pPr>
              <w:tabs>
                <w:tab w:val="center" w:pos="284"/>
              </w:tabs>
              <w:ind w:left="266" w:hanging="266"/>
              <w:rPr>
                <w:rFonts w:ascii="Arial" w:hAnsi="Arial" w:cs="Arial"/>
                <w:sz w:val="24"/>
                <w:szCs w:val="24"/>
              </w:rPr>
            </w:pPr>
            <w:r w:rsidRPr="00EF1682">
              <w:rPr>
                <w:rFonts w:ascii="Arial" w:hAnsi="Arial" w:cs="Arial"/>
                <w:sz w:val="24"/>
                <w:szCs w:val="24"/>
              </w:rPr>
              <w:t>John COMER</w:t>
            </w:r>
          </w:p>
        </w:tc>
      </w:tr>
      <w:tr w:rsidR="00EF1682" w:rsidRPr="00EF1682" w14:paraId="0172E571" w14:textId="77777777" w:rsidTr="00D639EC">
        <w:tc>
          <w:tcPr>
            <w:tcW w:w="5000" w:type="pct"/>
            <w:gridSpan w:val="2"/>
          </w:tcPr>
          <w:p w14:paraId="443D5F04" w14:textId="77777777" w:rsidR="00EF1682" w:rsidRPr="00EF1682" w:rsidRDefault="00EF1682" w:rsidP="00D639EC">
            <w:pPr>
              <w:tabs>
                <w:tab w:val="center" w:pos="284"/>
              </w:tabs>
              <w:spacing w:line="160" w:lineRule="exact"/>
              <w:ind w:left="266" w:hanging="266"/>
              <w:rPr>
                <w:rFonts w:ascii="Arial" w:hAnsi="Arial" w:cs="Arial"/>
                <w:sz w:val="24"/>
                <w:szCs w:val="24"/>
                <w:lang w:val="en-US"/>
              </w:rPr>
            </w:pPr>
          </w:p>
        </w:tc>
      </w:tr>
      <w:tr w:rsidR="00EF1682" w:rsidRPr="00EF1682" w14:paraId="2A07AF4E" w14:textId="77777777" w:rsidTr="00D639EC">
        <w:tc>
          <w:tcPr>
            <w:tcW w:w="1200" w:type="pct"/>
          </w:tcPr>
          <w:p w14:paraId="2FD8C105" w14:textId="77777777" w:rsidR="00EF1682" w:rsidRPr="00EF1682" w:rsidRDefault="00EF1682" w:rsidP="00D639EC">
            <w:pPr>
              <w:tabs>
                <w:tab w:val="center" w:pos="0"/>
              </w:tabs>
              <w:rPr>
                <w:rFonts w:ascii="Arial" w:hAnsi="Arial" w:cs="Arial"/>
                <w:b/>
                <w:sz w:val="24"/>
                <w:szCs w:val="24"/>
              </w:rPr>
            </w:pPr>
            <w:r w:rsidRPr="00EF1682">
              <w:rPr>
                <w:rFonts w:ascii="Arial" w:hAnsi="Arial" w:cs="Arial"/>
                <w:b/>
                <w:sz w:val="24"/>
                <w:szCs w:val="24"/>
              </w:rPr>
              <w:t>Referentni dokument/i:</w:t>
            </w:r>
          </w:p>
        </w:tc>
        <w:tc>
          <w:tcPr>
            <w:tcW w:w="3800" w:type="pct"/>
          </w:tcPr>
          <w:p w14:paraId="2971B3A9" w14:textId="77777777" w:rsidR="00EF1682" w:rsidRPr="00EF1682" w:rsidRDefault="00EF1682" w:rsidP="00D639EC">
            <w:pPr>
              <w:tabs>
                <w:tab w:val="center" w:pos="284"/>
              </w:tabs>
              <w:ind w:left="266" w:hanging="266"/>
              <w:rPr>
                <w:rFonts w:ascii="Arial" w:hAnsi="Arial" w:cs="Arial"/>
                <w:sz w:val="24"/>
                <w:szCs w:val="24"/>
              </w:rPr>
            </w:pPr>
            <w:r w:rsidRPr="00EF1682">
              <w:rPr>
                <w:rFonts w:ascii="Arial" w:hAnsi="Arial" w:cs="Arial"/>
                <w:sz w:val="24"/>
                <w:szCs w:val="24"/>
              </w:rPr>
              <w:t>EESC-2023-01740-00-00-AS-TRA</w:t>
            </w:r>
          </w:p>
          <w:p w14:paraId="0A062D62" w14:textId="77777777" w:rsidR="00EF1682" w:rsidRPr="00EF1682" w:rsidRDefault="00EF1682" w:rsidP="00D639EC">
            <w:pPr>
              <w:tabs>
                <w:tab w:val="center" w:pos="284"/>
              </w:tabs>
              <w:ind w:left="266" w:hanging="266"/>
              <w:rPr>
                <w:rFonts w:ascii="Arial" w:hAnsi="Arial" w:cs="Arial"/>
                <w:sz w:val="24"/>
                <w:szCs w:val="24"/>
              </w:rPr>
            </w:pPr>
            <w:r w:rsidRPr="00EF1682">
              <w:rPr>
                <w:rFonts w:ascii="Arial" w:hAnsi="Arial" w:cs="Arial"/>
                <w:sz w:val="24"/>
                <w:szCs w:val="24"/>
              </w:rPr>
              <w:t xml:space="preserve">COM(2023) 98 </w:t>
            </w:r>
            <w:proofErr w:type="spellStart"/>
            <w:r w:rsidRPr="00EF1682">
              <w:rPr>
                <w:rFonts w:ascii="Arial" w:hAnsi="Arial" w:cs="Arial"/>
                <w:sz w:val="24"/>
                <w:szCs w:val="24"/>
              </w:rPr>
              <w:t>final</w:t>
            </w:r>
            <w:proofErr w:type="spellEnd"/>
            <w:r w:rsidRPr="00EF1682">
              <w:rPr>
                <w:rFonts w:ascii="Arial" w:hAnsi="Arial" w:cs="Arial"/>
                <w:sz w:val="24"/>
                <w:szCs w:val="24"/>
              </w:rPr>
              <w:t xml:space="preserve"> – 2023/0049 (COD)</w:t>
            </w:r>
          </w:p>
        </w:tc>
      </w:tr>
    </w:tbl>
    <w:p w14:paraId="03DD02FE" w14:textId="77777777" w:rsidR="00EF1682" w:rsidRPr="00EF1682" w:rsidRDefault="00EF1682" w:rsidP="00EF1682">
      <w:pPr>
        <w:keepNext/>
        <w:keepLines/>
        <w:tabs>
          <w:tab w:val="center" w:pos="284"/>
        </w:tabs>
        <w:ind w:left="266" w:hanging="266"/>
        <w:rPr>
          <w:rFonts w:ascii="Arial" w:hAnsi="Arial" w:cs="Arial"/>
          <w:b/>
          <w:sz w:val="24"/>
          <w:szCs w:val="24"/>
        </w:rPr>
      </w:pPr>
    </w:p>
    <w:p w14:paraId="356C1D6C" w14:textId="14BA6234" w:rsidR="00EF1682" w:rsidRPr="00EF1682" w:rsidRDefault="00EF1682" w:rsidP="0015792A">
      <w:pPr>
        <w:keepNext/>
        <w:keepLines/>
        <w:ind w:left="266" w:hanging="124"/>
        <w:rPr>
          <w:rFonts w:ascii="Arial" w:hAnsi="Arial" w:cs="Arial"/>
          <w:b/>
          <w:sz w:val="24"/>
          <w:szCs w:val="24"/>
        </w:rPr>
      </w:pPr>
      <w:r w:rsidRPr="00EF1682">
        <w:rPr>
          <w:rFonts w:ascii="Arial" w:hAnsi="Arial" w:cs="Arial"/>
          <w:b/>
          <w:sz w:val="24"/>
          <w:szCs w:val="24"/>
        </w:rPr>
        <w:t>Ključne točke</w:t>
      </w:r>
    </w:p>
    <w:p w14:paraId="261EC40A" w14:textId="17543678" w:rsidR="00EF1682" w:rsidRPr="00EF1682" w:rsidRDefault="00EF1682" w:rsidP="0015792A">
      <w:pPr>
        <w:ind w:firstLine="142"/>
        <w:rPr>
          <w:rFonts w:ascii="Arial" w:hAnsi="Arial" w:cs="Arial"/>
          <w:bCs/>
          <w:iCs/>
          <w:sz w:val="24"/>
          <w:szCs w:val="24"/>
        </w:rPr>
      </w:pPr>
      <w:bookmarkStart w:id="0" w:name="_Hlk136862413"/>
      <w:r w:rsidRPr="00EF1682">
        <w:rPr>
          <w:rFonts w:ascii="Arial" w:hAnsi="Arial" w:cs="Arial"/>
          <w:sz w:val="24"/>
          <w:szCs w:val="24"/>
        </w:rPr>
        <w:t>EGSO:</w:t>
      </w:r>
      <w:bookmarkEnd w:id="0"/>
    </w:p>
    <w:p w14:paraId="055376EC" w14:textId="77777777" w:rsidR="00EF1682" w:rsidRPr="00EF1682" w:rsidRDefault="00EF1682" w:rsidP="00EF1682">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 xml:space="preserve">smatra da je uvođenje dobrovoljnog digitalnog označivanja </w:t>
      </w:r>
      <w:proofErr w:type="spellStart"/>
      <w:r w:rsidRPr="00EF1682">
        <w:rPr>
          <w:sz w:val="24"/>
          <w:szCs w:val="24"/>
        </w:rPr>
        <w:t>gnojidbenih</w:t>
      </w:r>
      <w:proofErr w:type="spellEnd"/>
      <w:r w:rsidRPr="00EF1682">
        <w:rPr>
          <w:sz w:val="24"/>
          <w:szCs w:val="24"/>
        </w:rPr>
        <w:t xml:space="preserve"> proizvoda vrlo pozitivan pomak i da je potrebno uložiti sve moguće napore da se gospodarske subjekte potakne da prijeđu na digitalno označivanje;</w:t>
      </w:r>
    </w:p>
    <w:p w14:paraId="6E05F38E" w14:textId="77777777" w:rsidR="00EF1682" w:rsidRPr="00EF1682" w:rsidRDefault="00EF1682" w:rsidP="00EF1682">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ukazuje na rizik od digitalnog jaza jer bi zbog digitalizacije neke ranjive skupine mogle postati još zapostavljenije unatoč odredbi da na zahtjev moraju biti dostupne i alternativne mogućnosti. Bilo bi preporučljivo uvesti vremenski okvir i jasnije navesti način na koji će ta alternativa funkcionirati u praksi;</w:t>
      </w:r>
    </w:p>
    <w:p w14:paraId="755D74C9" w14:textId="77777777" w:rsidR="00EF1682" w:rsidRPr="00EF1682" w:rsidRDefault="00EF1682" w:rsidP="00EF1682">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smatra da bi gospodarski subjekti koji uvedu digitalno označivanje trebali poduzeti posebne mjere uz ono što je predložila Komisija kako bi krajnjim korisnicima preporučili pregledavanje digitalne oznake i potaknuli ih na to;</w:t>
      </w:r>
    </w:p>
    <w:p w14:paraId="1D5639EF" w14:textId="77777777" w:rsidR="00EF1682" w:rsidRPr="00EF1682" w:rsidRDefault="00EF1682" w:rsidP="00EF1682">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napominje da su neki krajnji korisnici zabrinuti zbog prekomjernog praćenja na internetskim stranicama za digitalno označivanje te ističe da je potrebno pružiti odgovarajuća jamstva da do nepotrebnog praćenja neće doći;</w:t>
      </w:r>
    </w:p>
    <w:p w14:paraId="0FF9437E" w14:textId="77777777" w:rsidR="00EF1682" w:rsidRPr="00EF1682" w:rsidRDefault="00EF1682" w:rsidP="00EF1682">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 xml:space="preserve">pozdravlja predmetni prijedlog jer je usmjeren na dobrodošlo poboljšanje učinkovite upotrebe </w:t>
      </w:r>
      <w:proofErr w:type="spellStart"/>
      <w:r w:rsidRPr="00EF1682">
        <w:rPr>
          <w:sz w:val="24"/>
          <w:szCs w:val="24"/>
        </w:rPr>
        <w:t>gnojidbenih</w:t>
      </w:r>
      <w:proofErr w:type="spellEnd"/>
      <w:r w:rsidRPr="00EF1682">
        <w:rPr>
          <w:sz w:val="24"/>
          <w:szCs w:val="24"/>
        </w:rPr>
        <w:t xml:space="preserve"> proizvoda, smanjenje troškova i poticanje digitalizacije poljoprivrednog sektora;</w:t>
      </w:r>
    </w:p>
    <w:p w14:paraId="689EFF0E" w14:textId="77777777" w:rsidR="00EF1682" w:rsidRPr="00EF1682" w:rsidRDefault="00EF1682" w:rsidP="00EF1682">
      <w:pPr>
        <w:pStyle w:val="ListParagraph"/>
        <w:widowControl/>
        <w:numPr>
          <w:ilvl w:val="0"/>
          <w:numId w:val="15"/>
        </w:numPr>
        <w:autoSpaceDE/>
        <w:autoSpaceDN/>
        <w:adjustRightInd/>
        <w:spacing w:after="200" w:line="276" w:lineRule="auto"/>
        <w:jc w:val="both"/>
        <w:rPr>
          <w:bCs/>
          <w:iCs/>
          <w:sz w:val="24"/>
          <w:szCs w:val="24"/>
        </w:rPr>
      </w:pPr>
      <w:r w:rsidRPr="00EF1682">
        <w:rPr>
          <w:sz w:val="24"/>
          <w:szCs w:val="24"/>
        </w:rPr>
        <w:t xml:space="preserve">preporučuje </w:t>
      </w:r>
    </w:p>
    <w:p w14:paraId="36ABA476" w14:textId="77777777" w:rsidR="00EF1682" w:rsidRPr="00EF1682" w:rsidRDefault="00EF1682" w:rsidP="00EF1682">
      <w:pPr>
        <w:pStyle w:val="ListParagraph"/>
        <w:widowControl/>
        <w:numPr>
          <w:ilvl w:val="1"/>
          <w:numId w:val="15"/>
        </w:numPr>
        <w:autoSpaceDE/>
        <w:autoSpaceDN/>
        <w:adjustRightInd/>
        <w:spacing w:after="200" w:line="276" w:lineRule="auto"/>
        <w:jc w:val="both"/>
        <w:rPr>
          <w:bCs/>
          <w:iCs/>
          <w:sz w:val="24"/>
          <w:szCs w:val="24"/>
        </w:rPr>
      </w:pPr>
      <w:r w:rsidRPr="00EF1682">
        <w:rPr>
          <w:sz w:val="24"/>
          <w:szCs w:val="24"/>
        </w:rPr>
        <w:t xml:space="preserve">da se uzorkovanje tla prije primjene </w:t>
      </w:r>
      <w:proofErr w:type="spellStart"/>
      <w:r w:rsidRPr="00EF1682">
        <w:rPr>
          <w:sz w:val="24"/>
          <w:szCs w:val="24"/>
        </w:rPr>
        <w:t>gnojidbenih</w:t>
      </w:r>
      <w:proofErr w:type="spellEnd"/>
      <w:r w:rsidRPr="00EF1682">
        <w:rPr>
          <w:sz w:val="24"/>
          <w:szCs w:val="24"/>
        </w:rPr>
        <w:t xml:space="preserve"> proizvoda istakne i na fizičkoj i na digitalnoj oznaci. Ta bi mjera bila korisna za okoliš i za uštedu financijskih sredstava;</w:t>
      </w:r>
    </w:p>
    <w:p w14:paraId="71D11DAD" w14:textId="77777777" w:rsidR="00EF1682" w:rsidRPr="00EF1682" w:rsidRDefault="00EF1682" w:rsidP="00EF1682">
      <w:pPr>
        <w:pStyle w:val="ListParagraph"/>
        <w:widowControl/>
        <w:numPr>
          <w:ilvl w:val="1"/>
          <w:numId w:val="15"/>
        </w:numPr>
        <w:autoSpaceDE/>
        <w:autoSpaceDN/>
        <w:adjustRightInd/>
        <w:spacing w:after="200" w:line="276" w:lineRule="auto"/>
        <w:jc w:val="both"/>
        <w:rPr>
          <w:bCs/>
          <w:iCs/>
          <w:sz w:val="24"/>
          <w:szCs w:val="24"/>
        </w:rPr>
      </w:pPr>
      <w:r w:rsidRPr="00EF1682">
        <w:rPr>
          <w:sz w:val="24"/>
          <w:szCs w:val="24"/>
        </w:rPr>
        <w:t>da se radi jasnije komunikacije u Prijedlogu utvrdi oblik i format fizičkih oznaka, uključujući i najmanju veličinu fonta;</w:t>
      </w:r>
    </w:p>
    <w:p w14:paraId="7E6C7BBE" w14:textId="77777777" w:rsidR="00EF1682" w:rsidRPr="00EF1682" w:rsidRDefault="00EF1682" w:rsidP="00EF1682">
      <w:pPr>
        <w:pStyle w:val="ListParagraph"/>
        <w:widowControl/>
        <w:numPr>
          <w:ilvl w:val="1"/>
          <w:numId w:val="15"/>
        </w:numPr>
        <w:autoSpaceDE/>
        <w:autoSpaceDN/>
        <w:adjustRightInd/>
        <w:spacing w:after="200" w:line="276" w:lineRule="auto"/>
        <w:jc w:val="both"/>
        <w:rPr>
          <w:bCs/>
          <w:iCs/>
          <w:sz w:val="24"/>
          <w:szCs w:val="24"/>
        </w:rPr>
      </w:pPr>
      <w:r w:rsidRPr="00EF1682">
        <w:rPr>
          <w:sz w:val="24"/>
          <w:szCs w:val="24"/>
        </w:rPr>
        <w:t xml:space="preserve"> da se za pakiranja </w:t>
      </w:r>
      <w:proofErr w:type="spellStart"/>
      <w:r w:rsidRPr="00EF1682">
        <w:rPr>
          <w:sz w:val="24"/>
          <w:szCs w:val="24"/>
        </w:rPr>
        <w:t>gnojidbenih</w:t>
      </w:r>
      <w:proofErr w:type="spellEnd"/>
      <w:r w:rsidRPr="00EF1682">
        <w:rPr>
          <w:sz w:val="24"/>
          <w:szCs w:val="24"/>
        </w:rPr>
        <w:t xml:space="preserve"> proizvoda od 1000 kg ili više zahtijeva digitalna oznaka samo ako gospodarski subjekti odluče upotrebljavati digitalno označivanje. Za pakiranja </w:t>
      </w:r>
      <w:proofErr w:type="spellStart"/>
      <w:r w:rsidRPr="00EF1682">
        <w:rPr>
          <w:sz w:val="24"/>
          <w:szCs w:val="24"/>
        </w:rPr>
        <w:t>gnojidbenih</w:t>
      </w:r>
      <w:proofErr w:type="spellEnd"/>
      <w:r w:rsidRPr="00EF1682">
        <w:rPr>
          <w:sz w:val="24"/>
          <w:szCs w:val="24"/>
        </w:rPr>
        <w:t xml:space="preserve"> proizvoda mase manje od 1000 kg uvijek bi trebala biti potrebna fizička oznaka, čak i ako gospodarski subjekti odluče upotrebljavati digitalnu oznaku.</w:t>
      </w:r>
    </w:p>
    <w:p w14:paraId="349679F6" w14:textId="77777777" w:rsidR="00EF1682" w:rsidRPr="00EF1682" w:rsidRDefault="00EF1682" w:rsidP="00EF1682">
      <w:pPr>
        <w:pStyle w:val="ListParagraph"/>
        <w:widowControl/>
        <w:autoSpaceDE/>
        <w:autoSpaceDN/>
        <w:adjustRightInd/>
        <w:spacing w:after="200" w:line="276" w:lineRule="auto"/>
        <w:ind w:left="1440"/>
        <w:jc w:val="both"/>
        <w:rPr>
          <w:bCs/>
          <w:iCs/>
          <w:sz w:val="24"/>
          <w:szCs w:val="24"/>
        </w:rPr>
      </w:pPr>
    </w:p>
    <w:p w14:paraId="2FBB8018" w14:textId="4A02BBB6" w:rsidR="00EF1682" w:rsidRDefault="00EF1682" w:rsidP="0015792A">
      <w:pPr>
        <w:widowControl w:val="0"/>
        <w:overflowPunct w:val="0"/>
        <w:autoSpaceDE w:val="0"/>
        <w:autoSpaceDN w:val="0"/>
        <w:adjustRightInd w:val="0"/>
        <w:ind w:left="266"/>
        <w:textAlignment w:val="baseline"/>
        <w:rPr>
          <w:rFonts w:ascii="Arial" w:hAnsi="Arial" w:cs="Arial"/>
          <w:b/>
          <w:i/>
          <w:iCs/>
          <w:sz w:val="24"/>
          <w:szCs w:val="24"/>
        </w:rPr>
      </w:pPr>
      <w:r w:rsidRPr="00EF1682">
        <w:rPr>
          <w:rFonts w:ascii="Arial" w:hAnsi="Arial" w:cs="Arial"/>
          <w:b/>
          <w:bCs/>
          <w:i/>
          <w:iCs/>
          <w:sz w:val="24"/>
          <w:szCs w:val="24"/>
        </w:rPr>
        <w:t>SOC/721 –</w:t>
      </w:r>
      <w:r w:rsidR="0015792A" w:rsidRPr="0015792A">
        <w:rPr>
          <w:rFonts w:ascii="Arial" w:hAnsi="Arial" w:cs="Arial"/>
          <w:b/>
          <w:i/>
          <w:iCs/>
          <w:sz w:val="24"/>
          <w:szCs w:val="24"/>
        </w:rPr>
        <w:t>Jednako postupanje prema mladima na tržištu rada</w:t>
      </w:r>
    </w:p>
    <w:p w14:paraId="1098B571" w14:textId="77777777" w:rsidR="0015792A" w:rsidRPr="0015792A" w:rsidRDefault="0015792A" w:rsidP="0015792A">
      <w:pPr>
        <w:widowControl w:val="0"/>
        <w:overflowPunct w:val="0"/>
        <w:autoSpaceDE w:val="0"/>
        <w:autoSpaceDN w:val="0"/>
        <w:adjustRightInd w:val="0"/>
        <w:ind w:left="266"/>
        <w:textAlignment w:val="baseline"/>
        <w:rPr>
          <w:rFonts w:ascii="Arial" w:hAnsi="Arial" w:cs="Arial"/>
          <w:b/>
          <w:color w:val="0000FF"/>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521"/>
      </w:tblGrid>
      <w:tr w:rsidR="00EF1682" w:rsidRPr="00EF1682" w14:paraId="0E8316DD" w14:textId="77777777" w:rsidTr="00D639EC">
        <w:trPr>
          <w:trHeight w:val="251"/>
        </w:trPr>
        <w:tc>
          <w:tcPr>
            <w:tcW w:w="1701" w:type="dxa"/>
          </w:tcPr>
          <w:p w14:paraId="472DE1A0" w14:textId="77777777" w:rsidR="00EF1682" w:rsidRPr="00EF1682" w:rsidRDefault="00EF1682" w:rsidP="00D639EC">
            <w:pPr>
              <w:tabs>
                <w:tab w:val="center" w:pos="284"/>
              </w:tabs>
              <w:ind w:left="266" w:hanging="266"/>
              <w:rPr>
                <w:rFonts w:ascii="Arial" w:hAnsi="Arial" w:cs="Arial"/>
                <w:b/>
                <w:sz w:val="24"/>
                <w:szCs w:val="24"/>
              </w:rPr>
            </w:pPr>
            <w:r w:rsidRPr="00EF1682">
              <w:rPr>
                <w:rFonts w:ascii="Arial" w:hAnsi="Arial" w:cs="Arial"/>
                <w:b/>
                <w:sz w:val="24"/>
                <w:szCs w:val="24"/>
              </w:rPr>
              <w:t>Izvjestitelj/</w:t>
            </w:r>
            <w:proofErr w:type="spellStart"/>
            <w:r w:rsidRPr="00EF1682">
              <w:rPr>
                <w:rFonts w:ascii="Arial" w:hAnsi="Arial" w:cs="Arial"/>
                <w:b/>
                <w:sz w:val="24"/>
                <w:szCs w:val="24"/>
              </w:rPr>
              <w:t>ica</w:t>
            </w:r>
            <w:proofErr w:type="spellEnd"/>
            <w:r w:rsidRPr="00EF1682">
              <w:rPr>
                <w:rFonts w:ascii="Arial" w:hAnsi="Arial" w:cs="Arial"/>
                <w:b/>
                <w:sz w:val="24"/>
                <w:szCs w:val="24"/>
              </w:rPr>
              <w:t>:</w:t>
            </w:r>
          </w:p>
        </w:tc>
        <w:tc>
          <w:tcPr>
            <w:tcW w:w="6521" w:type="dxa"/>
          </w:tcPr>
          <w:p w14:paraId="463586D9" w14:textId="77777777" w:rsidR="00EF1682" w:rsidRPr="00EF1682" w:rsidRDefault="00EF1682" w:rsidP="00D639EC">
            <w:pPr>
              <w:tabs>
                <w:tab w:val="center" w:pos="284"/>
              </w:tabs>
              <w:ind w:left="266" w:hanging="266"/>
              <w:rPr>
                <w:rFonts w:ascii="Arial" w:hAnsi="Arial" w:cs="Arial"/>
                <w:bCs/>
                <w:sz w:val="24"/>
                <w:szCs w:val="24"/>
              </w:rPr>
            </w:pPr>
            <w:r w:rsidRPr="00EF1682">
              <w:rPr>
                <w:rFonts w:ascii="Arial" w:hAnsi="Arial" w:cs="Arial"/>
                <w:sz w:val="24"/>
                <w:szCs w:val="24"/>
              </w:rPr>
              <w:t>Michael MCLOUGHLIN (IE-III)</w:t>
            </w:r>
          </w:p>
        </w:tc>
      </w:tr>
      <w:tr w:rsidR="00EF1682" w:rsidRPr="00EF1682" w14:paraId="60D0BD0D" w14:textId="77777777" w:rsidTr="00D639EC">
        <w:tc>
          <w:tcPr>
            <w:tcW w:w="8222" w:type="dxa"/>
            <w:gridSpan w:val="2"/>
          </w:tcPr>
          <w:p w14:paraId="5610E291" w14:textId="77777777" w:rsidR="00EF1682" w:rsidRPr="00EF1682" w:rsidRDefault="00EF1682" w:rsidP="00D639EC">
            <w:pPr>
              <w:tabs>
                <w:tab w:val="center" w:pos="284"/>
              </w:tabs>
              <w:spacing w:line="160" w:lineRule="exact"/>
              <w:ind w:left="266" w:hanging="266"/>
              <w:rPr>
                <w:rFonts w:ascii="Arial" w:hAnsi="Arial" w:cs="Arial"/>
                <w:sz w:val="24"/>
                <w:szCs w:val="24"/>
                <w:lang w:val="en-US"/>
              </w:rPr>
            </w:pPr>
          </w:p>
        </w:tc>
      </w:tr>
      <w:tr w:rsidR="00EF1682" w:rsidRPr="00EF1682" w14:paraId="49388B84" w14:textId="77777777" w:rsidTr="00D639EC">
        <w:tc>
          <w:tcPr>
            <w:tcW w:w="1701" w:type="dxa"/>
            <w:vMerge w:val="restart"/>
          </w:tcPr>
          <w:p w14:paraId="42F17689" w14:textId="77777777" w:rsidR="00EF1682" w:rsidRPr="00EF1682" w:rsidRDefault="00EF1682" w:rsidP="00D639EC">
            <w:pPr>
              <w:tabs>
                <w:tab w:val="center" w:pos="284"/>
              </w:tabs>
              <w:ind w:left="266" w:hanging="266"/>
              <w:rPr>
                <w:rFonts w:ascii="Arial" w:hAnsi="Arial" w:cs="Arial"/>
                <w:b/>
                <w:sz w:val="24"/>
                <w:szCs w:val="24"/>
              </w:rPr>
            </w:pPr>
            <w:r w:rsidRPr="00EF1682">
              <w:rPr>
                <w:rFonts w:ascii="Arial" w:hAnsi="Arial" w:cs="Arial"/>
                <w:b/>
                <w:sz w:val="24"/>
                <w:szCs w:val="24"/>
              </w:rPr>
              <w:t>Referentni dokument/i:</w:t>
            </w:r>
          </w:p>
        </w:tc>
        <w:tc>
          <w:tcPr>
            <w:tcW w:w="6521" w:type="dxa"/>
          </w:tcPr>
          <w:p w14:paraId="445D454E" w14:textId="77777777" w:rsidR="00EF1682" w:rsidRPr="00EF1682" w:rsidRDefault="00EF1682" w:rsidP="00D639EC">
            <w:pPr>
              <w:tabs>
                <w:tab w:val="center" w:pos="284"/>
              </w:tabs>
              <w:ind w:left="266" w:hanging="266"/>
              <w:rPr>
                <w:rFonts w:ascii="Arial" w:hAnsi="Arial" w:cs="Arial"/>
                <w:sz w:val="24"/>
                <w:szCs w:val="24"/>
              </w:rPr>
            </w:pPr>
            <w:r w:rsidRPr="00EF1682">
              <w:rPr>
                <w:rFonts w:ascii="Arial" w:hAnsi="Arial" w:cs="Arial"/>
                <w:sz w:val="24"/>
                <w:szCs w:val="24"/>
              </w:rPr>
              <w:t>EESC-2023-00863-00-01-AS-TRA-EN</w:t>
            </w:r>
          </w:p>
        </w:tc>
      </w:tr>
      <w:tr w:rsidR="00EF1682" w:rsidRPr="00EF1682" w14:paraId="4E4CF11A" w14:textId="77777777" w:rsidTr="00D639EC">
        <w:tc>
          <w:tcPr>
            <w:tcW w:w="1701" w:type="dxa"/>
            <w:vMerge/>
          </w:tcPr>
          <w:p w14:paraId="194D1A0D" w14:textId="77777777" w:rsidR="00EF1682" w:rsidRPr="00EF1682" w:rsidRDefault="00EF1682" w:rsidP="00D639EC">
            <w:pPr>
              <w:tabs>
                <w:tab w:val="center" w:pos="284"/>
              </w:tabs>
              <w:ind w:left="266" w:hanging="266"/>
              <w:rPr>
                <w:rFonts w:ascii="Arial" w:hAnsi="Arial" w:cs="Arial"/>
                <w:b/>
                <w:sz w:val="24"/>
                <w:szCs w:val="24"/>
                <w:lang w:val="en-US"/>
              </w:rPr>
            </w:pPr>
          </w:p>
        </w:tc>
        <w:tc>
          <w:tcPr>
            <w:tcW w:w="6521" w:type="dxa"/>
          </w:tcPr>
          <w:p w14:paraId="3DED290F" w14:textId="77777777" w:rsidR="00EF1682" w:rsidRPr="00EF1682" w:rsidRDefault="00EF1682" w:rsidP="00D639EC">
            <w:pPr>
              <w:tabs>
                <w:tab w:val="center" w:pos="284"/>
              </w:tabs>
              <w:ind w:left="266" w:hanging="266"/>
              <w:rPr>
                <w:rFonts w:ascii="Arial" w:hAnsi="Arial" w:cs="Arial"/>
                <w:sz w:val="24"/>
                <w:szCs w:val="24"/>
                <w:lang w:val="en-US"/>
              </w:rPr>
            </w:pPr>
          </w:p>
        </w:tc>
      </w:tr>
    </w:tbl>
    <w:p w14:paraId="78CA4550" w14:textId="77777777" w:rsidR="00EF1682" w:rsidRPr="00EF1682" w:rsidRDefault="00EF1682" w:rsidP="0015792A">
      <w:pPr>
        <w:tabs>
          <w:tab w:val="center" w:pos="284"/>
        </w:tabs>
        <w:rPr>
          <w:rFonts w:ascii="Arial" w:hAnsi="Arial" w:cs="Arial"/>
          <w:sz w:val="24"/>
          <w:szCs w:val="24"/>
        </w:rPr>
      </w:pPr>
    </w:p>
    <w:p w14:paraId="4EDEDF6F" w14:textId="5F32BC7D" w:rsidR="00EF1682" w:rsidRPr="00EF1682" w:rsidRDefault="00EF1682" w:rsidP="0015792A">
      <w:pPr>
        <w:keepNext/>
        <w:keepLines/>
        <w:tabs>
          <w:tab w:val="center" w:pos="284"/>
        </w:tabs>
        <w:ind w:left="266" w:hanging="266"/>
        <w:rPr>
          <w:rFonts w:ascii="Arial" w:hAnsi="Arial" w:cs="Arial"/>
          <w:b/>
          <w:sz w:val="24"/>
          <w:szCs w:val="24"/>
        </w:rPr>
      </w:pPr>
      <w:r w:rsidRPr="00EF1682">
        <w:rPr>
          <w:rFonts w:ascii="Arial" w:hAnsi="Arial" w:cs="Arial"/>
          <w:b/>
          <w:sz w:val="24"/>
          <w:szCs w:val="24"/>
        </w:rPr>
        <w:t>Ključne točke</w:t>
      </w:r>
    </w:p>
    <w:p w14:paraId="572E7E0A" w14:textId="77777777" w:rsidR="00EF1682" w:rsidRPr="00EF1682" w:rsidRDefault="00EF1682" w:rsidP="00EF1682">
      <w:pPr>
        <w:rPr>
          <w:rFonts w:ascii="Arial" w:hAnsi="Arial" w:cs="Arial"/>
          <w:bCs/>
          <w:iCs/>
          <w:sz w:val="24"/>
          <w:szCs w:val="24"/>
        </w:rPr>
      </w:pPr>
      <w:r w:rsidRPr="00EF1682">
        <w:rPr>
          <w:rFonts w:ascii="Arial" w:hAnsi="Arial" w:cs="Arial"/>
          <w:sz w:val="24"/>
          <w:szCs w:val="24"/>
        </w:rPr>
        <w:t>EGSO:</w:t>
      </w:r>
    </w:p>
    <w:p w14:paraId="2DA638E0" w14:textId="77777777" w:rsidR="00EF1682" w:rsidRPr="00802F26" w:rsidRDefault="00EF1682" w:rsidP="00EF1682">
      <w:pPr>
        <w:pStyle w:val="ListParagraph"/>
        <w:widowControl/>
        <w:numPr>
          <w:ilvl w:val="0"/>
          <w:numId w:val="17"/>
        </w:numPr>
        <w:autoSpaceDE/>
        <w:autoSpaceDN/>
        <w:adjustRightInd/>
        <w:spacing w:after="200" w:line="276" w:lineRule="auto"/>
        <w:jc w:val="both"/>
        <w:rPr>
          <w:iCs/>
          <w:sz w:val="24"/>
          <w:szCs w:val="24"/>
        </w:rPr>
      </w:pPr>
      <w:r w:rsidRPr="00802F26">
        <w:rPr>
          <w:sz w:val="24"/>
          <w:szCs w:val="24"/>
        </w:rPr>
        <w:t>ističe važnost uspješnog sudjelovanja mladih na tržištu rada i naglašava da bi njihovo prvo sudjelovanje trebalo biti pozitivno, a da su mjere zbog kojih ih se prema njima postupa nepovoljnije samo na temelju dobi kontraproduktivne;</w:t>
      </w:r>
    </w:p>
    <w:p w14:paraId="5CE0AAC9" w14:textId="77777777" w:rsidR="00EF1682" w:rsidRPr="00802F26" w:rsidRDefault="00EF1682" w:rsidP="00EF1682">
      <w:pPr>
        <w:pStyle w:val="ListParagraph"/>
        <w:widowControl/>
        <w:numPr>
          <w:ilvl w:val="0"/>
          <w:numId w:val="17"/>
        </w:numPr>
        <w:autoSpaceDE/>
        <w:autoSpaceDN/>
        <w:adjustRightInd/>
        <w:spacing w:after="200" w:line="276" w:lineRule="auto"/>
        <w:jc w:val="both"/>
        <w:rPr>
          <w:iCs/>
          <w:sz w:val="24"/>
          <w:szCs w:val="24"/>
        </w:rPr>
      </w:pPr>
      <w:r w:rsidRPr="00802F26">
        <w:rPr>
          <w:sz w:val="24"/>
          <w:szCs w:val="24"/>
        </w:rPr>
        <w:t>preporučuje da Europska komisija, države članice i socijalni partneri razmotre pitanje „minimalnih plaća za mlade” u skladu s načelom jednakog postupanja i primjenjivim pravnim i političkim okvirima;</w:t>
      </w:r>
    </w:p>
    <w:p w14:paraId="3204D0D0" w14:textId="77777777" w:rsidR="00EF1682" w:rsidRPr="00802F26" w:rsidRDefault="00EF1682" w:rsidP="00EF1682">
      <w:pPr>
        <w:pStyle w:val="ListParagraph"/>
        <w:widowControl/>
        <w:numPr>
          <w:ilvl w:val="0"/>
          <w:numId w:val="17"/>
        </w:numPr>
        <w:autoSpaceDE/>
        <w:autoSpaceDN/>
        <w:adjustRightInd/>
        <w:spacing w:after="200" w:line="276" w:lineRule="auto"/>
        <w:jc w:val="both"/>
        <w:rPr>
          <w:iCs/>
          <w:sz w:val="24"/>
          <w:szCs w:val="24"/>
        </w:rPr>
      </w:pPr>
      <w:r w:rsidRPr="00802F26">
        <w:rPr>
          <w:sz w:val="24"/>
          <w:szCs w:val="24"/>
        </w:rPr>
        <w:t>poziva države članice da poštuju načelo nediskriminacije kako bi eliminirali različita pravila za mlade u pogledu naknada za nezaposlenost i isplata pomoći može se utjecati na situaciju mladih na tržištu rada i utjecati na njihovu sposobnost ostvarivanja prava na slobodno kretanje u EU-u;</w:t>
      </w:r>
    </w:p>
    <w:p w14:paraId="7DCB95B3" w14:textId="77777777" w:rsidR="00EF1682" w:rsidRPr="00802F26" w:rsidRDefault="00EF1682" w:rsidP="00EF1682">
      <w:pPr>
        <w:pStyle w:val="ListParagraph"/>
        <w:widowControl/>
        <w:numPr>
          <w:ilvl w:val="0"/>
          <w:numId w:val="17"/>
        </w:numPr>
        <w:autoSpaceDE/>
        <w:autoSpaceDN/>
        <w:adjustRightInd/>
        <w:spacing w:after="200" w:line="276" w:lineRule="auto"/>
        <w:jc w:val="both"/>
        <w:rPr>
          <w:iCs/>
          <w:sz w:val="24"/>
          <w:szCs w:val="24"/>
        </w:rPr>
      </w:pPr>
      <w:r w:rsidRPr="00802F26">
        <w:rPr>
          <w:sz w:val="24"/>
          <w:szCs w:val="24"/>
        </w:rPr>
        <w:t>smatra da iako pripravništvo olakšava pristup zapošljavanju, trebalo bi ponuditi kvalitetan obrazovni sadržaj i odgovarajuće radne uvjete i ne bi trebalo zamjenjivati redovne poslove ili biti preduvjet za zapošljavanje;</w:t>
      </w:r>
    </w:p>
    <w:p w14:paraId="063AE194" w14:textId="77777777" w:rsidR="00EF1682" w:rsidRPr="00802F26" w:rsidRDefault="00EF1682" w:rsidP="00EF1682">
      <w:pPr>
        <w:pStyle w:val="ListParagraph"/>
        <w:widowControl/>
        <w:numPr>
          <w:ilvl w:val="0"/>
          <w:numId w:val="17"/>
        </w:numPr>
        <w:autoSpaceDE/>
        <w:autoSpaceDN/>
        <w:adjustRightInd/>
        <w:spacing w:after="200" w:line="276" w:lineRule="auto"/>
        <w:jc w:val="both"/>
        <w:rPr>
          <w:iCs/>
          <w:sz w:val="24"/>
          <w:szCs w:val="24"/>
        </w:rPr>
      </w:pPr>
      <w:r w:rsidRPr="00802F26">
        <w:rPr>
          <w:sz w:val="24"/>
          <w:szCs w:val="24"/>
        </w:rPr>
        <w:t>preporučuje drugim institucijama i tijelima EU-a, uključujući Komisiju, da pokažu veći interes za neplaćeno ili nekompenzirano stažiranje i tako i nakon Europske godine mladih u praksi dokažu svoju predanost mladima;</w:t>
      </w:r>
    </w:p>
    <w:p w14:paraId="1BEC8D76" w14:textId="77777777" w:rsidR="00EF1682" w:rsidRPr="00EF1682" w:rsidRDefault="00EF1682" w:rsidP="00EF1682">
      <w:pPr>
        <w:pStyle w:val="ListParagraph"/>
        <w:widowControl/>
        <w:numPr>
          <w:ilvl w:val="0"/>
          <w:numId w:val="17"/>
        </w:numPr>
        <w:autoSpaceDE/>
        <w:autoSpaceDN/>
        <w:adjustRightInd/>
        <w:spacing w:after="200" w:line="276" w:lineRule="auto"/>
        <w:jc w:val="both"/>
        <w:rPr>
          <w:bCs/>
          <w:iCs/>
          <w:sz w:val="24"/>
          <w:szCs w:val="24"/>
        </w:rPr>
      </w:pPr>
      <w:r w:rsidRPr="00802F26">
        <w:rPr>
          <w:sz w:val="24"/>
          <w:szCs w:val="24"/>
        </w:rPr>
        <w:t>podsjeća da je uloga Europske komisije preispitati provodi li se kvalitativni okvir za pripravništvo (QFT) na pravilan</w:t>
      </w:r>
      <w:r w:rsidRPr="00EF1682">
        <w:rPr>
          <w:sz w:val="24"/>
          <w:szCs w:val="24"/>
        </w:rPr>
        <w:t xml:space="preserve"> način;</w:t>
      </w:r>
    </w:p>
    <w:p w14:paraId="2BB8AEA0" w14:textId="77777777" w:rsidR="005C2C04" w:rsidRPr="005C2C04" w:rsidRDefault="00EF1682" w:rsidP="005C2C04">
      <w:pPr>
        <w:pStyle w:val="ListParagraph"/>
        <w:widowControl/>
        <w:numPr>
          <w:ilvl w:val="0"/>
          <w:numId w:val="17"/>
        </w:numPr>
        <w:autoSpaceDE/>
        <w:autoSpaceDN/>
        <w:adjustRightInd/>
        <w:spacing w:after="200" w:line="276" w:lineRule="auto"/>
        <w:jc w:val="both"/>
        <w:rPr>
          <w:bCs/>
          <w:iCs/>
          <w:sz w:val="24"/>
          <w:szCs w:val="24"/>
        </w:rPr>
      </w:pPr>
      <w:r w:rsidRPr="00EF1682">
        <w:rPr>
          <w:sz w:val="24"/>
          <w:szCs w:val="24"/>
        </w:rPr>
        <w:t>podržava uključivanje evaluacije učinka EU-a iz perspektive mladih, kojom se procjenjuje učinak svih novih politika na mlade.</w:t>
      </w:r>
    </w:p>
    <w:p w14:paraId="5E1C923E" w14:textId="77777777" w:rsidR="005C2C04" w:rsidRPr="005C2C04" w:rsidRDefault="005C2C04" w:rsidP="005C2C04">
      <w:pPr>
        <w:pStyle w:val="ListParagraph"/>
        <w:widowControl/>
        <w:autoSpaceDE/>
        <w:autoSpaceDN/>
        <w:adjustRightInd/>
        <w:spacing w:after="200" w:line="276" w:lineRule="auto"/>
        <w:jc w:val="both"/>
        <w:rPr>
          <w:bCs/>
          <w:iCs/>
          <w:sz w:val="24"/>
          <w:szCs w:val="24"/>
        </w:rPr>
      </w:pPr>
    </w:p>
    <w:p w14:paraId="6870130B" w14:textId="77777777" w:rsidR="005C2C04" w:rsidRDefault="005C2C04" w:rsidP="005C2C04">
      <w:pPr>
        <w:pStyle w:val="ListParagraph"/>
        <w:widowControl/>
        <w:autoSpaceDE/>
        <w:autoSpaceDN/>
        <w:adjustRightInd/>
        <w:spacing w:after="200" w:line="276" w:lineRule="auto"/>
        <w:jc w:val="both"/>
        <w:rPr>
          <w:bCs/>
          <w:iCs/>
          <w:sz w:val="24"/>
          <w:szCs w:val="24"/>
        </w:rPr>
      </w:pPr>
    </w:p>
    <w:p w14:paraId="4339094B" w14:textId="77777777" w:rsidR="00802F26" w:rsidRPr="005C2C04" w:rsidRDefault="00802F26" w:rsidP="005C2C04">
      <w:pPr>
        <w:pStyle w:val="ListParagraph"/>
        <w:widowControl/>
        <w:autoSpaceDE/>
        <w:autoSpaceDN/>
        <w:adjustRightInd/>
        <w:spacing w:after="200" w:line="276" w:lineRule="auto"/>
        <w:jc w:val="both"/>
        <w:rPr>
          <w:bCs/>
          <w:iCs/>
          <w:sz w:val="24"/>
          <w:szCs w:val="24"/>
        </w:rPr>
      </w:pPr>
    </w:p>
    <w:p w14:paraId="2F7C70E4" w14:textId="07FF5E5A" w:rsidR="0015792A" w:rsidRPr="005C2C04" w:rsidRDefault="00DD0DF2" w:rsidP="005C2C04">
      <w:pPr>
        <w:pStyle w:val="ListParagraph"/>
        <w:widowControl/>
        <w:autoSpaceDE/>
        <w:autoSpaceDN/>
        <w:adjustRightInd/>
        <w:spacing w:after="200" w:line="276" w:lineRule="auto"/>
        <w:jc w:val="both"/>
        <w:rPr>
          <w:bCs/>
          <w:iCs/>
          <w:sz w:val="24"/>
          <w:szCs w:val="24"/>
        </w:rPr>
      </w:pPr>
      <w:r w:rsidRPr="005C2C04">
        <w:rPr>
          <w:b/>
          <w:bCs/>
          <w:i/>
          <w:iCs/>
          <w:sz w:val="24"/>
          <w:szCs w:val="24"/>
        </w:rPr>
        <w:t>SOC/759 –</w:t>
      </w:r>
      <w:r w:rsidR="00540990" w:rsidRPr="005C2C04">
        <w:rPr>
          <w:b/>
          <w:bCs/>
          <w:i/>
          <w:iCs/>
          <w:sz w:val="24"/>
          <w:szCs w:val="24"/>
          <w:lang w:val="pt-PT"/>
        </w:rPr>
        <w:t>Suradnja u području mladih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670"/>
      </w:tblGrid>
      <w:tr w:rsidR="00DD0DF2" w:rsidRPr="0015792A" w14:paraId="450353B7" w14:textId="77777777" w:rsidTr="00401AFE">
        <w:tc>
          <w:tcPr>
            <w:tcW w:w="1701" w:type="dxa"/>
          </w:tcPr>
          <w:p w14:paraId="29C6CCC1" w14:textId="77777777" w:rsidR="00DD0DF2" w:rsidRPr="0015792A" w:rsidRDefault="00DD0DF2" w:rsidP="00401AFE">
            <w:pPr>
              <w:tabs>
                <w:tab w:val="center" w:pos="284"/>
              </w:tabs>
              <w:ind w:left="266" w:hanging="266"/>
              <w:rPr>
                <w:rFonts w:ascii="Arial" w:hAnsi="Arial" w:cs="Arial"/>
                <w:b/>
                <w:sz w:val="24"/>
                <w:szCs w:val="24"/>
              </w:rPr>
            </w:pPr>
            <w:r w:rsidRPr="0015792A">
              <w:rPr>
                <w:rFonts w:ascii="Arial" w:hAnsi="Arial" w:cs="Arial"/>
                <w:b/>
                <w:sz w:val="24"/>
                <w:szCs w:val="24"/>
              </w:rPr>
              <w:t>Izvjestitelj/</w:t>
            </w:r>
            <w:proofErr w:type="spellStart"/>
            <w:r w:rsidRPr="0015792A">
              <w:rPr>
                <w:rFonts w:ascii="Arial" w:hAnsi="Arial" w:cs="Arial"/>
                <w:b/>
                <w:sz w:val="24"/>
                <w:szCs w:val="24"/>
              </w:rPr>
              <w:t>ica</w:t>
            </w:r>
            <w:proofErr w:type="spellEnd"/>
            <w:r w:rsidRPr="0015792A">
              <w:rPr>
                <w:rFonts w:ascii="Arial" w:hAnsi="Arial" w:cs="Arial"/>
                <w:b/>
                <w:sz w:val="24"/>
                <w:szCs w:val="24"/>
              </w:rPr>
              <w:t>:</w:t>
            </w:r>
          </w:p>
          <w:p w14:paraId="713D0B99" w14:textId="77777777" w:rsidR="00DD0DF2" w:rsidRPr="0015792A" w:rsidRDefault="00DD0DF2" w:rsidP="0015792A">
            <w:pPr>
              <w:tabs>
                <w:tab w:val="center" w:pos="284"/>
              </w:tabs>
              <w:rPr>
                <w:rFonts w:ascii="Arial" w:hAnsi="Arial" w:cs="Arial"/>
                <w:b/>
                <w:sz w:val="24"/>
                <w:szCs w:val="24"/>
                <w:lang w:val="en-US"/>
              </w:rPr>
            </w:pPr>
          </w:p>
        </w:tc>
        <w:tc>
          <w:tcPr>
            <w:tcW w:w="5670" w:type="dxa"/>
          </w:tcPr>
          <w:p w14:paraId="4DF2CDD7" w14:textId="77777777" w:rsidR="00DD0DF2" w:rsidRPr="0015792A" w:rsidRDefault="00DD0DF2" w:rsidP="00401AFE">
            <w:pPr>
              <w:tabs>
                <w:tab w:val="center" w:pos="284"/>
              </w:tabs>
              <w:ind w:left="266" w:hanging="266"/>
              <w:rPr>
                <w:rFonts w:ascii="Arial" w:hAnsi="Arial" w:cs="Arial"/>
                <w:sz w:val="24"/>
                <w:szCs w:val="24"/>
              </w:rPr>
            </w:pPr>
            <w:proofErr w:type="spellStart"/>
            <w:r w:rsidRPr="0015792A">
              <w:rPr>
                <w:rFonts w:ascii="Arial" w:hAnsi="Arial" w:cs="Arial"/>
                <w:sz w:val="24"/>
                <w:szCs w:val="24"/>
              </w:rPr>
              <w:t>Nicoletta</w:t>
            </w:r>
            <w:proofErr w:type="spellEnd"/>
            <w:r w:rsidRPr="0015792A">
              <w:rPr>
                <w:rFonts w:ascii="Arial" w:hAnsi="Arial" w:cs="Arial"/>
                <w:sz w:val="24"/>
                <w:szCs w:val="24"/>
              </w:rPr>
              <w:t xml:space="preserve"> MERLO</w:t>
            </w:r>
          </w:p>
          <w:p w14:paraId="11C4C697" w14:textId="1015A373" w:rsidR="00DD0DF2" w:rsidRPr="0015792A" w:rsidRDefault="00DD0DF2" w:rsidP="00DD0DF2">
            <w:pPr>
              <w:tabs>
                <w:tab w:val="center" w:pos="284"/>
              </w:tabs>
              <w:ind w:left="266" w:hanging="266"/>
              <w:rPr>
                <w:rFonts w:ascii="Arial" w:hAnsi="Arial" w:cs="Arial"/>
                <w:sz w:val="24"/>
                <w:szCs w:val="24"/>
              </w:rPr>
            </w:pPr>
            <w:r w:rsidRPr="0015792A">
              <w:rPr>
                <w:rFonts w:ascii="Arial" w:hAnsi="Arial" w:cs="Arial"/>
                <w:sz w:val="24"/>
                <w:szCs w:val="24"/>
              </w:rPr>
              <w:t>(Skupina radnika – IT)</w:t>
            </w:r>
          </w:p>
        </w:tc>
      </w:tr>
      <w:tr w:rsidR="00DD0DF2" w:rsidRPr="0015792A" w14:paraId="3690D6B3" w14:textId="77777777" w:rsidTr="00401AFE">
        <w:tc>
          <w:tcPr>
            <w:tcW w:w="1701" w:type="dxa"/>
            <w:vMerge w:val="restart"/>
          </w:tcPr>
          <w:p w14:paraId="2BAF6A8C" w14:textId="77777777" w:rsidR="00DD0DF2" w:rsidRPr="0015792A" w:rsidRDefault="00DD0DF2" w:rsidP="00401AFE">
            <w:pPr>
              <w:tabs>
                <w:tab w:val="center" w:pos="284"/>
              </w:tabs>
              <w:ind w:left="266" w:hanging="266"/>
              <w:rPr>
                <w:rFonts w:ascii="Arial" w:hAnsi="Arial" w:cs="Arial"/>
                <w:b/>
                <w:sz w:val="24"/>
                <w:szCs w:val="24"/>
              </w:rPr>
            </w:pPr>
            <w:r w:rsidRPr="0015792A">
              <w:rPr>
                <w:rFonts w:ascii="Arial" w:hAnsi="Arial" w:cs="Arial"/>
                <w:b/>
                <w:sz w:val="24"/>
                <w:szCs w:val="24"/>
              </w:rPr>
              <w:t>Referentni dokument/i:</w:t>
            </w:r>
          </w:p>
        </w:tc>
        <w:tc>
          <w:tcPr>
            <w:tcW w:w="5670" w:type="dxa"/>
          </w:tcPr>
          <w:p w14:paraId="03975940" w14:textId="77777777" w:rsidR="00DD0DF2" w:rsidRPr="0015792A" w:rsidRDefault="00DD0DF2" w:rsidP="00401AFE">
            <w:pPr>
              <w:tabs>
                <w:tab w:val="center" w:pos="0"/>
              </w:tabs>
              <w:ind w:left="33" w:hanging="33"/>
              <w:rPr>
                <w:rFonts w:ascii="Arial" w:hAnsi="Arial" w:cs="Arial"/>
                <w:sz w:val="24"/>
                <w:szCs w:val="24"/>
              </w:rPr>
            </w:pPr>
            <w:proofErr w:type="spellStart"/>
            <w:r w:rsidRPr="0015792A">
              <w:rPr>
                <w:rFonts w:ascii="Arial" w:hAnsi="Arial" w:cs="Arial"/>
                <w:sz w:val="24"/>
                <w:szCs w:val="24"/>
              </w:rPr>
              <w:t>razmatračko</w:t>
            </w:r>
            <w:proofErr w:type="spellEnd"/>
            <w:r w:rsidRPr="0015792A">
              <w:rPr>
                <w:rFonts w:ascii="Arial" w:hAnsi="Arial" w:cs="Arial"/>
                <w:sz w:val="24"/>
                <w:szCs w:val="24"/>
              </w:rPr>
              <w:t xml:space="preserve"> mišljenje na zahtjev španjolskog predsjedništva</w:t>
            </w:r>
          </w:p>
          <w:p w14:paraId="60479E4D" w14:textId="77777777" w:rsidR="00DD0DF2" w:rsidRPr="0015792A" w:rsidRDefault="00DD0DF2" w:rsidP="00401AFE">
            <w:pPr>
              <w:tabs>
                <w:tab w:val="center" w:pos="284"/>
              </w:tabs>
              <w:ind w:left="266" w:hanging="266"/>
              <w:rPr>
                <w:rFonts w:ascii="Arial" w:hAnsi="Arial" w:cs="Arial"/>
                <w:sz w:val="24"/>
                <w:szCs w:val="24"/>
              </w:rPr>
            </w:pPr>
            <w:r w:rsidRPr="0015792A">
              <w:rPr>
                <w:rFonts w:ascii="Arial" w:hAnsi="Arial" w:cs="Arial"/>
                <w:sz w:val="24"/>
                <w:szCs w:val="24"/>
              </w:rPr>
              <w:t>EESC-2023-01291-00-00-AS-TRA</w:t>
            </w:r>
          </w:p>
        </w:tc>
      </w:tr>
      <w:tr w:rsidR="00DD0DF2" w:rsidRPr="0015792A" w14:paraId="52618F9D" w14:textId="77777777" w:rsidTr="00401AFE">
        <w:tc>
          <w:tcPr>
            <w:tcW w:w="1701" w:type="dxa"/>
            <w:vMerge/>
          </w:tcPr>
          <w:p w14:paraId="6D896BFD" w14:textId="77777777" w:rsidR="00DD0DF2" w:rsidRPr="0015792A" w:rsidRDefault="00DD0DF2" w:rsidP="00401AFE">
            <w:pPr>
              <w:tabs>
                <w:tab w:val="center" w:pos="284"/>
              </w:tabs>
              <w:ind w:left="266" w:hanging="266"/>
              <w:rPr>
                <w:rFonts w:ascii="Arial" w:hAnsi="Arial" w:cs="Arial"/>
                <w:b/>
                <w:sz w:val="24"/>
                <w:szCs w:val="24"/>
                <w:lang w:val="pt-PT"/>
              </w:rPr>
            </w:pPr>
          </w:p>
        </w:tc>
        <w:tc>
          <w:tcPr>
            <w:tcW w:w="5670" w:type="dxa"/>
          </w:tcPr>
          <w:p w14:paraId="4C00B661" w14:textId="77777777" w:rsidR="00DD0DF2" w:rsidRPr="0015792A" w:rsidRDefault="00DD0DF2" w:rsidP="00401AFE">
            <w:pPr>
              <w:tabs>
                <w:tab w:val="center" w:pos="284"/>
              </w:tabs>
              <w:ind w:left="266" w:hanging="266"/>
              <w:rPr>
                <w:rFonts w:ascii="Arial" w:hAnsi="Arial" w:cs="Arial"/>
                <w:sz w:val="24"/>
                <w:szCs w:val="24"/>
                <w:lang w:val="pt-PT"/>
              </w:rPr>
            </w:pPr>
          </w:p>
        </w:tc>
      </w:tr>
    </w:tbl>
    <w:p w14:paraId="43F6E85E" w14:textId="3A255956" w:rsidR="00DD0DF2" w:rsidRPr="0015792A" w:rsidRDefault="00DD0DF2" w:rsidP="00DD0DF2">
      <w:pPr>
        <w:keepNext/>
        <w:keepLines/>
        <w:tabs>
          <w:tab w:val="center" w:pos="284"/>
        </w:tabs>
        <w:ind w:left="266" w:hanging="266"/>
        <w:rPr>
          <w:rFonts w:ascii="Arial" w:hAnsi="Arial" w:cs="Arial"/>
          <w:b/>
          <w:sz w:val="24"/>
          <w:szCs w:val="24"/>
        </w:rPr>
      </w:pPr>
      <w:r w:rsidRPr="0015792A">
        <w:rPr>
          <w:rFonts w:ascii="Arial" w:hAnsi="Arial" w:cs="Arial"/>
          <w:b/>
          <w:sz w:val="24"/>
          <w:szCs w:val="24"/>
        </w:rPr>
        <w:t>Ključne točke</w:t>
      </w:r>
    </w:p>
    <w:p w14:paraId="723D2853" w14:textId="77777777" w:rsidR="00DD0DF2" w:rsidRPr="0015792A" w:rsidRDefault="00DD0DF2" w:rsidP="00DD0DF2">
      <w:pPr>
        <w:rPr>
          <w:rFonts w:ascii="Arial" w:hAnsi="Arial" w:cs="Arial"/>
          <w:bCs/>
          <w:iCs/>
          <w:sz w:val="24"/>
          <w:szCs w:val="24"/>
        </w:rPr>
      </w:pPr>
      <w:r w:rsidRPr="0015792A">
        <w:rPr>
          <w:rFonts w:ascii="Arial" w:hAnsi="Arial" w:cs="Arial"/>
          <w:sz w:val="24"/>
          <w:szCs w:val="24"/>
        </w:rPr>
        <w:t>EGSO:</w:t>
      </w:r>
    </w:p>
    <w:p w14:paraId="2F40F19D"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smatra da se aktualna i buduća agenda EU-a za mlade treba baviti glavnim izazovima s kojima se suočavaju mladi Europljani i utvrditi kako im EU može pomoći da ih prevladaju; naglašava važnost posjedovanja točnih i ažuriranih podataka za praćenje i evaluaciju učinka politika na mlade i definiranje dobrih praksi koje se odnose na mlade;</w:t>
      </w:r>
    </w:p>
    <w:p w14:paraId="6981D871"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vjeruje da dijalog EU-a s mladima treba ojačati i uključiti tijela koja smisleno predstavljaju mlade tijekom cijelog postupka oblikovanja politika i uzeti u obzir nove načine na koje se mladi danas angažiraju, raspravljaju i mobiliziraju; važno je utvrditi i prevladati društvene, gospodarske i kulturne prepreke potpunom sudjelovanju mladih, posebno onih najranjivijih;</w:t>
      </w:r>
    </w:p>
    <w:p w14:paraId="35596109"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smatra da treba pružati veću potporu izgradnji kapaciteta socijalnih partnera, posebno kad su posrijedi mladi članovi, za socijalni dijalog i kolektivno;</w:t>
      </w:r>
    </w:p>
    <w:p w14:paraId="40EC6505"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smatra da je od presudne važnosti da svi zakoni, politike, programi, mjere i javna ulaganja svih država članica podliježu savjetovanju o učinku iz perspektive mladih, procjeni učinka, oblikovanju politika i prijedlozima za ublažavanje te da se njima sprečavaju kršenje prava mladih i njihova diskriminacija;</w:t>
      </w:r>
    </w:p>
    <w:p w14:paraId="47EC46FC"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naglašava važnost cjeloživotnog učenja, transverzalnih vještina, razvoj vještina za djelovanje u području klime i okolišnih pitanja, kao i važnost promicanja digitalnih vještina i vještina u području STEM-a, posebno među djevojčicama;</w:t>
      </w:r>
    </w:p>
    <w:p w14:paraId="4E6C070A"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 xml:space="preserve">naglašava da je važno osigurati da adolescenti steknu </w:t>
      </w:r>
      <w:proofErr w:type="spellStart"/>
      <w:r w:rsidRPr="0015792A">
        <w:rPr>
          <w:sz w:val="24"/>
          <w:szCs w:val="24"/>
        </w:rPr>
        <w:t>socio</w:t>
      </w:r>
      <w:proofErr w:type="spellEnd"/>
      <w:r w:rsidRPr="0015792A">
        <w:rPr>
          <w:sz w:val="24"/>
          <w:szCs w:val="24"/>
        </w:rPr>
        <w:t>-emocionalne vještine i pružiti besplatnu psihološku i socijalnu potporu u školama i drugim velikim skupinama kako bi se promicalo mentalno zdravlje i suzbilo nasilje i vršnjačko nasilje;</w:t>
      </w:r>
    </w:p>
    <w:p w14:paraId="2156EE24"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ukazuje na to da mladima treba pomoći s troškovima stanovanja i poticati politike javnog stanovanja kako bi im se zajamčio pristup pristojnom stanovanju, potaklo ih se da žive samostalno i poduprlo tijekom planiranja obiteljskog života;</w:t>
      </w:r>
    </w:p>
    <w:p w14:paraId="1EFA96F3" w14:textId="77777777" w:rsidR="00DD0DF2" w:rsidRPr="0015792A" w:rsidRDefault="00DD0DF2" w:rsidP="00DD0DF2">
      <w:pPr>
        <w:pStyle w:val="ListParagraph"/>
        <w:widowControl/>
        <w:numPr>
          <w:ilvl w:val="0"/>
          <w:numId w:val="6"/>
        </w:numPr>
        <w:autoSpaceDE/>
        <w:autoSpaceDN/>
        <w:adjustRightInd/>
        <w:spacing w:after="200" w:line="276" w:lineRule="auto"/>
        <w:jc w:val="both"/>
        <w:rPr>
          <w:bCs/>
          <w:iCs/>
          <w:sz w:val="24"/>
          <w:szCs w:val="24"/>
        </w:rPr>
      </w:pPr>
      <w:r w:rsidRPr="0015792A">
        <w:rPr>
          <w:sz w:val="24"/>
          <w:szCs w:val="24"/>
        </w:rPr>
        <w:t>preporučuje svim javnim institucijama da koriste pristupačan jezik prilagođen mladima i bolje iskorištavaju društvene medije za prenošenje najvažnijih informacija i izvješćivanje o svojim aktivnostima i politikama;</w:t>
      </w:r>
    </w:p>
    <w:p w14:paraId="0E7DA0C7" w14:textId="77777777" w:rsidR="00DD0DF2" w:rsidRPr="0015792A" w:rsidRDefault="00DD0DF2" w:rsidP="00DD0DF2">
      <w:pPr>
        <w:pStyle w:val="ListParagraph"/>
        <w:keepNext/>
        <w:keepLines/>
        <w:widowControl/>
        <w:numPr>
          <w:ilvl w:val="0"/>
          <w:numId w:val="6"/>
        </w:numPr>
        <w:autoSpaceDE/>
        <w:autoSpaceDN/>
        <w:adjustRightInd/>
        <w:spacing w:after="200" w:line="276" w:lineRule="auto"/>
        <w:ind w:left="714" w:hanging="357"/>
        <w:jc w:val="both"/>
        <w:rPr>
          <w:bCs/>
          <w:iCs/>
          <w:sz w:val="24"/>
          <w:szCs w:val="24"/>
        </w:rPr>
      </w:pPr>
      <w:r w:rsidRPr="0015792A">
        <w:rPr>
          <w:sz w:val="24"/>
          <w:szCs w:val="24"/>
        </w:rPr>
        <w:t>vjeruje da bi integracija mladih na tržište rada pomoću kvalitetnih radnih mjesta i poboljšanje dosega do mladih koji ne rade, nisu u sustavu redovitog obrazovanja te nisu u sustavu obrazovanja odraslih (NEET) trebali biti prioritet EU-a i država članica; potiče države članice da sredstva u okviru nacionalnih planova za oporavak i otpornost i drugih postojećih fondova iskoriste za otvaranje radnih mjesta i usavršavanje mladih; poziva na ulaganje u materijalnu i nematerijalnu infrastrukturu za ustanove za skrb o djeci i dugotrajnu skrb kako bi se pomoglo punoj zaposlenosti žena.</w:t>
      </w:r>
    </w:p>
    <w:p w14:paraId="3D08AB7C" w14:textId="77777777" w:rsidR="00DD0DF2" w:rsidRPr="0015792A" w:rsidRDefault="00DD0DF2" w:rsidP="00DD0DF2">
      <w:pPr>
        <w:jc w:val="center"/>
        <w:rPr>
          <w:rFonts w:ascii="Arial" w:hAnsi="Arial" w:cs="Arial"/>
          <w:sz w:val="24"/>
          <w:szCs w:val="24"/>
        </w:rPr>
      </w:pPr>
      <w:r w:rsidRPr="0015792A">
        <w:rPr>
          <w:rFonts w:ascii="Arial" w:hAnsi="Arial" w:cs="Arial"/>
          <w:sz w:val="24"/>
          <w:szCs w:val="24"/>
        </w:rPr>
        <w:t>_____________</w:t>
      </w:r>
    </w:p>
    <w:p w14:paraId="10A78160" w14:textId="77777777" w:rsidR="00DD0DF2" w:rsidRPr="0015792A" w:rsidRDefault="00DD0DF2" w:rsidP="00DD0DF2">
      <w:pPr>
        <w:rPr>
          <w:rFonts w:ascii="Arial" w:hAnsi="Arial" w:cs="Arial"/>
          <w:sz w:val="24"/>
          <w:szCs w:val="24"/>
          <w:lang w:val="nl-BE"/>
        </w:rPr>
      </w:pPr>
    </w:p>
    <w:p w14:paraId="0EEB0898" w14:textId="1901EFEB" w:rsidR="00B225F3" w:rsidRPr="0015792A" w:rsidRDefault="00B225F3" w:rsidP="00B225F3">
      <w:pPr>
        <w:spacing w:after="160" w:line="259" w:lineRule="auto"/>
        <w:rPr>
          <w:rFonts w:ascii="Arial" w:hAnsi="Arial" w:cs="Arial"/>
          <w:b/>
          <w:bCs/>
          <w:sz w:val="24"/>
          <w:szCs w:val="24"/>
        </w:rPr>
      </w:pPr>
    </w:p>
    <w:p w14:paraId="2260F909" w14:textId="77777777" w:rsidR="00B225F3" w:rsidRPr="0015792A" w:rsidRDefault="00B225F3">
      <w:pPr>
        <w:rPr>
          <w:rFonts w:ascii="Arial" w:hAnsi="Arial" w:cs="Arial"/>
          <w:sz w:val="24"/>
          <w:szCs w:val="24"/>
          <w:lang w:val="en-GB"/>
        </w:rPr>
      </w:pPr>
    </w:p>
    <w:sectPr w:rsidR="00B225F3" w:rsidRPr="001579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A46E" w14:textId="77777777" w:rsidR="0090712C" w:rsidRDefault="0090712C" w:rsidP="00B225F3">
      <w:pPr>
        <w:spacing w:line="240" w:lineRule="auto"/>
      </w:pPr>
      <w:r>
        <w:separator/>
      </w:r>
    </w:p>
  </w:endnote>
  <w:endnote w:type="continuationSeparator" w:id="0">
    <w:p w14:paraId="780796C6" w14:textId="77777777" w:rsidR="0090712C" w:rsidRDefault="0090712C" w:rsidP="00B22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43E3" w14:textId="77777777" w:rsidR="0090712C" w:rsidRDefault="0090712C" w:rsidP="00B225F3">
      <w:pPr>
        <w:spacing w:line="240" w:lineRule="auto"/>
      </w:pPr>
      <w:r>
        <w:separator/>
      </w:r>
    </w:p>
  </w:footnote>
  <w:footnote w:type="continuationSeparator" w:id="0">
    <w:p w14:paraId="7BE02585" w14:textId="77777777" w:rsidR="0090712C" w:rsidRDefault="0090712C" w:rsidP="00B22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E088C8"/>
    <w:lvl w:ilvl="0">
      <w:numFmt w:val="decimal"/>
      <w:lvlText w:val="*"/>
      <w:lvlJc w:val="left"/>
    </w:lvl>
  </w:abstractNum>
  <w:abstractNum w:abstractNumId="1" w15:restartNumberingAfterBreak="0">
    <w:nsid w:val="033533F9"/>
    <w:multiLevelType w:val="hybridMultilevel"/>
    <w:tmpl w:val="0F3A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68F4"/>
    <w:multiLevelType w:val="multilevel"/>
    <w:tmpl w:val="531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821A3"/>
    <w:multiLevelType w:val="hybridMultilevel"/>
    <w:tmpl w:val="2CE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D25A1"/>
    <w:multiLevelType w:val="multilevel"/>
    <w:tmpl w:val="9BB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316D"/>
    <w:multiLevelType w:val="hybridMultilevel"/>
    <w:tmpl w:val="D24E93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2434E3"/>
    <w:multiLevelType w:val="hybridMultilevel"/>
    <w:tmpl w:val="8744B0B6"/>
    <w:lvl w:ilvl="0" w:tplc="D370F860">
      <w:start w:val="1"/>
      <w:numFmt w:val="decimal"/>
      <w:lvlText w:val="%1."/>
      <w:lvlJc w:val="left"/>
      <w:pPr>
        <w:ind w:left="742" w:hanging="360"/>
      </w:pPr>
      <w:rPr>
        <w:b w:val="0"/>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F6E13AF"/>
    <w:multiLevelType w:val="hybridMultilevel"/>
    <w:tmpl w:val="935247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77623C"/>
    <w:multiLevelType w:val="multilevel"/>
    <w:tmpl w:val="C4C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D09E2"/>
    <w:multiLevelType w:val="hybridMultilevel"/>
    <w:tmpl w:val="C0E475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A3B5F2C"/>
    <w:multiLevelType w:val="multilevel"/>
    <w:tmpl w:val="BA8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921F5"/>
    <w:multiLevelType w:val="singleLevel"/>
    <w:tmpl w:val="DDE088C8"/>
    <w:lvl w:ilvl="0">
      <w:numFmt w:val="decimal"/>
      <w:lvlText w:val="*"/>
      <w:lvlJc w:val="left"/>
    </w:lvl>
  </w:abstractNum>
  <w:abstractNum w:abstractNumId="12" w15:restartNumberingAfterBreak="0">
    <w:nsid w:val="76A447C5"/>
    <w:multiLevelType w:val="multilevel"/>
    <w:tmpl w:val="1156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A0492"/>
    <w:multiLevelType w:val="hybridMultilevel"/>
    <w:tmpl w:val="69184040"/>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7CFD4C0A"/>
    <w:multiLevelType w:val="hybridMultilevel"/>
    <w:tmpl w:val="AA668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99789260">
    <w:abstractNumId w:val="6"/>
  </w:num>
  <w:num w:numId="2" w16cid:durableId="1848592487">
    <w:abstractNumId w:val="3"/>
  </w:num>
  <w:num w:numId="3" w16cid:durableId="338704961">
    <w:abstractNumId w:val="0"/>
    <w:lvlOverride w:ilvl="0">
      <w:lvl w:ilvl="0">
        <w:start w:val="1"/>
        <w:numFmt w:val="bullet"/>
        <w:lvlText w:val=""/>
        <w:legacy w:legacy="1" w:legacySpace="0" w:legacyIndent="283"/>
        <w:lvlJc w:val="left"/>
        <w:pPr>
          <w:ind w:left="567" w:hanging="283"/>
        </w:pPr>
        <w:rPr>
          <w:rFonts w:ascii="Symbol" w:hAnsi="Symbol" w:hint="default"/>
          <w:color w:val="auto"/>
        </w:rPr>
      </w:lvl>
    </w:lvlOverride>
  </w:num>
  <w:num w:numId="4" w16cid:durableId="541285750">
    <w:abstractNumId w:val="13"/>
  </w:num>
  <w:num w:numId="5" w16cid:durableId="569341428">
    <w:abstractNumId w:val="0"/>
    <w:lvlOverride w:ilvl="0">
      <w:lvl w:ilvl="0">
        <w:start w:val="1"/>
        <w:numFmt w:val="bullet"/>
        <w:lvlText w:val=""/>
        <w:lvlJc w:val="left"/>
        <w:pPr>
          <w:ind w:left="720" w:hanging="360"/>
        </w:pPr>
        <w:rPr>
          <w:rFonts w:ascii="Symbol" w:hAnsi="Symbol" w:hint="default"/>
          <w:color w:val="auto"/>
        </w:rPr>
      </w:lvl>
    </w:lvlOverride>
  </w:num>
  <w:num w:numId="6" w16cid:durableId="901796201">
    <w:abstractNumId w:val="5"/>
  </w:num>
  <w:num w:numId="7" w16cid:durableId="13653294">
    <w:abstractNumId w:val="8"/>
  </w:num>
  <w:num w:numId="8" w16cid:durableId="2107845475">
    <w:abstractNumId w:val="12"/>
  </w:num>
  <w:num w:numId="9" w16cid:durableId="1024669364">
    <w:abstractNumId w:val="10"/>
  </w:num>
  <w:num w:numId="10" w16cid:durableId="1553038946">
    <w:abstractNumId w:val="4"/>
  </w:num>
  <w:num w:numId="11" w16cid:durableId="1244876144">
    <w:abstractNumId w:val="2"/>
  </w:num>
  <w:num w:numId="12" w16cid:durableId="2138328687">
    <w:abstractNumId w:val="0"/>
    <w:lvlOverride w:ilvl="0">
      <w:lvl w:ilvl="0">
        <w:start w:val="1"/>
        <w:numFmt w:val="bullet"/>
        <w:lvlText w:val=""/>
        <w:legacy w:legacy="1" w:legacySpace="0" w:legacyIndent="283"/>
        <w:lvlJc w:val="left"/>
        <w:pPr>
          <w:ind w:left="567" w:hanging="283"/>
        </w:pPr>
        <w:rPr>
          <w:rFonts w:ascii="Symbol" w:hAnsi="Symbol" w:hint="default"/>
          <w:color w:val="auto"/>
        </w:rPr>
      </w:lvl>
    </w:lvlOverride>
  </w:num>
  <w:num w:numId="13" w16cid:durableId="1790394053">
    <w:abstractNumId w:val="11"/>
  </w:num>
  <w:num w:numId="14" w16cid:durableId="2110466674">
    <w:abstractNumId w:val="7"/>
  </w:num>
  <w:num w:numId="15" w16cid:durableId="1068378096">
    <w:abstractNumId w:val="9"/>
  </w:num>
  <w:num w:numId="16" w16cid:durableId="1319768819">
    <w:abstractNumId w:val="1"/>
  </w:num>
  <w:num w:numId="17" w16cid:durableId="13544992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F3"/>
    <w:rsid w:val="00083E1E"/>
    <w:rsid w:val="000F251E"/>
    <w:rsid w:val="0015792A"/>
    <w:rsid w:val="00195750"/>
    <w:rsid w:val="00214839"/>
    <w:rsid w:val="002E66B3"/>
    <w:rsid w:val="00456E90"/>
    <w:rsid w:val="00540990"/>
    <w:rsid w:val="005C2C04"/>
    <w:rsid w:val="005E4CE7"/>
    <w:rsid w:val="006C683D"/>
    <w:rsid w:val="006C7C5D"/>
    <w:rsid w:val="00707D02"/>
    <w:rsid w:val="00802F26"/>
    <w:rsid w:val="00835B5E"/>
    <w:rsid w:val="008E4E49"/>
    <w:rsid w:val="0090712C"/>
    <w:rsid w:val="00936A62"/>
    <w:rsid w:val="00AE792A"/>
    <w:rsid w:val="00B225F3"/>
    <w:rsid w:val="00B4255B"/>
    <w:rsid w:val="00BF3CEC"/>
    <w:rsid w:val="00D0325A"/>
    <w:rsid w:val="00DC196C"/>
    <w:rsid w:val="00DD0DF2"/>
    <w:rsid w:val="00E44215"/>
    <w:rsid w:val="00EF168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68DB2A7"/>
  <w15:chartTrackingRefBased/>
  <w15:docId w15:val="{8BA95B59-3368-9144-9F05-EEF1FE99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F3"/>
    <w:pPr>
      <w:spacing w:line="288" w:lineRule="auto"/>
      <w:jc w:val="both"/>
    </w:pPr>
    <w:rPr>
      <w:rFonts w:ascii="Times New Roman" w:eastAsia="Times New Roman" w:hAnsi="Times New Roman" w:cs="Times New Roman"/>
      <w:kern w:val="0"/>
      <w:sz w:val="22"/>
      <w:szCs w:val="22"/>
      <w:lang w:val="hr-HR"/>
      <w14:ligatures w14:val="none"/>
    </w:rPr>
  </w:style>
  <w:style w:type="paragraph" w:styleId="Heading1">
    <w:name w:val="heading 1"/>
    <w:basedOn w:val="Normal"/>
    <w:link w:val="Heading1Char"/>
    <w:uiPriority w:val="9"/>
    <w:qFormat/>
    <w:rsid w:val="00DD0DF2"/>
    <w:pPr>
      <w:spacing w:before="100" w:beforeAutospacing="1" w:after="100" w:afterAutospacing="1" w:line="240" w:lineRule="auto"/>
      <w:jc w:val="left"/>
      <w:outlineLvl w:val="0"/>
    </w:pPr>
    <w:rPr>
      <w:b/>
      <w:bCs/>
      <w:kern w:val="36"/>
      <w:sz w:val="48"/>
      <w:szCs w:val="48"/>
      <w:lang w:val="en-B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5F3"/>
    <w:pPr>
      <w:overflowPunct w:val="0"/>
      <w:autoSpaceDE w:val="0"/>
      <w:autoSpaceDN w:val="0"/>
      <w:adjustRightInd w:val="0"/>
      <w:spacing w:line="288" w:lineRule="auto"/>
      <w:jc w:val="both"/>
      <w:textAlignment w:val="baseline"/>
    </w:pPr>
    <w:rPr>
      <w:rFonts w:ascii="Times New Roman" w:eastAsia="PMingLiU" w:hAnsi="Times New Roman" w:cs="Times New Roman"/>
      <w:kern w:val="0"/>
      <w:sz w:val="20"/>
      <w:szCs w:val="20"/>
      <w:lang w:val="hr-HR" w:eastAsia="en-GB" w:bidi="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25F3"/>
    <w:rPr>
      <w:color w:val="0000FF"/>
      <w:u w:val="single"/>
    </w:rPr>
  </w:style>
  <w:style w:type="paragraph" w:customStyle="1" w:styleId="TitleStyle">
    <w:name w:val="Title Style"/>
    <w:uiPriority w:val="99"/>
    <w:rsid w:val="00B225F3"/>
    <w:pPr>
      <w:widowControl w:val="0"/>
      <w:autoSpaceDE w:val="0"/>
      <w:autoSpaceDN w:val="0"/>
      <w:adjustRightInd w:val="0"/>
      <w:jc w:val="center"/>
    </w:pPr>
    <w:rPr>
      <w:rFonts w:ascii="Arial" w:eastAsiaTheme="minorEastAsia" w:hAnsi="Arial" w:cs="Arial"/>
      <w:b/>
      <w:bCs/>
      <w:color w:val="000000"/>
      <w:kern w:val="0"/>
      <w:sz w:val="28"/>
      <w:szCs w:val="28"/>
      <w:lang w:val="hr-HR" w:eastAsia="fr-BE"/>
      <w14:ligatures w14:val="none"/>
    </w:rPr>
  </w:style>
  <w:style w:type="paragraph" w:customStyle="1" w:styleId="ListHeader">
    <w:name w:val="List Header"/>
    <w:uiPriority w:val="99"/>
    <w:rsid w:val="00B225F3"/>
    <w:pPr>
      <w:widowControl w:val="0"/>
      <w:autoSpaceDE w:val="0"/>
      <w:autoSpaceDN w:val="0"/>
      <w:adjustRightInd w:val="0"/>
    </w:pPr>
    <w:rPr>
      <w:rFonts w:ascii="Arial" w:eastAsiaTheme="minorEastAsia" w:hAnsi="Arial" w:cs="Arial"/>
      <w:b/>
      <w:bCs/>
      <w:color w:val="404040"/>
      <w:kern w:val="0"/>
      <w:sz w:val="20"/>
      <w:szCs w:val="20"/>
      <w:lang w:val="hr-HR" w:eastAsia="fr-BE"/>
      <w14:ligatures w14:val="none"/>
    </w:rPr>
  </w:style>
  <w:style w:type="paragraph" w:styleId="FootnoteText">
    <w:name w:val="footnote text"/>
    <w:basedOn w:val="Normal"/>
    <w:link w:val="FootnoteTextChar"/>
    <w:uiPriority w:val="99"/>
    <w:semiHidden/>
    <w:unhideWhenUsed/>
    <w:rsid w:val="00B225F3"/>
    <w:pPr>
      <w:widowControl w:val="0"/>
      <w:autoSpaceDE w:val="0"/>
      <w:autoSpaceDN w:val="0"/>
      <w:adjustRightInd w:val="0"/>
      <w:spacing w:line="240" w:lineRule="auto"/>
      <w:jc w:val="left"/>
    </w:pPr>
    <w:rPr>
      <w:rFonts w:ascii="Arial" w:eastAsiaTheme="minorEastAsia" w:hAnsi="Arial" w:cs="Arial"/>
      <w:color w:val="000000"/>
      <w:sz w:val="20"/>
      <w:szCs w:val="20"/>
      <w:lang w:eastAsia="fr-BE"/>
    </w:rPr>
  </w:style>
  <w:style w:type="character" w:customStyle="1" w:styleId="FootnoteTextChar">
    <w:name w:val="Footnote Text Char"/>
    <w:basedOn w:val="DefaultParagraphFont"/>
    <w:link w:val="FootnoteText"/>
    <w:uiPriority w:val="99"/>
    <w:semiHidden/>
    <w:rsid w:val="00B225F3"/>
    <w:rPr>
      <w:rFonts w:ascii="Arial" w:eastAsiaTheme="minorEastAsia" w:hAnsi="Arial" w:cs="Arial"/>
      <w:color w:val="000000"/>
      <w:kern w:val="0"/>
      <w:sz w:val="20"/>
      <w:szCs w:val="20"/>
      <w:lang w:val="hr-HR" w:eastAsia="fr-BE"/>
      <w14:ligatures w14:val="none"/>
    </w:rPr>
  </w:style>
  <w:style w:type="paragraph" w:styleId="ListParagraph">
    <w:name w:val="List Paragraph"/>
    <w:aliases w:val="Fiche List Paragraph,Task Body,Viñetas (Inicio Parrafo),3 Txt tabla,Zerrenda-paragrafoa,Lista multicolor - Énfasis 11,Paragrafo elenco,Nad,Odstavec_muj,Resume Title,Listes,Citation List,Ha,List Paragraph1,Body,List Paragraph_Table bullets"/>
    <w:basedOn w:val="Normal"/>
    <w:link w:val="ListParagraphChar"/>
    <w:uiPriority w:val="34"/>
    <w:qFormat/>
    <w:rsid w:val="00B225F3"/>
    <w:pPr>
      <w:widowControl w:val="0"/>
      <w:autoSpaceDE w:val="0"/>
      <w:autoSpaceDN w:val="0"/>
      <w:adjustRightInd w:val="0"/>
      <w:spacing w:line="240" w:lineRule="auto"/>
      <w:ind w:left="720"/>
      <w:contextualSpacing/>
      <w:jc w:val="left"/>
    </w:pPr>
    <w:rPr>
      <w:rFonts w:ascii="Arial" w:eastAsiaTheme="minorEastAsia" w:hAnsi="Arial" w:cs="Arial"/>
      <w:color w:val="000000"/>
      <w:sz w:val="20"/>
      <w:szCs w:val="20"/>
      <w:lang w:eastAsia="fr-BE"/>
    </w:rPr>
  </w:style>
  <w:style w:type="character" w:styleId="FootnoteReference">
    <w:name w:val="footnote reference"/>
    <w:basedOn w:val="DefaultParagraphFont"/>
    <w:uiPriority w:val="99"/>
    <w:semiHidden/>
    <w:unhideWhenUsed/>
    <w:rsid w:val="00B225F3"/>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Resume Title Char,Listes Char"/>
    <w:link w:val="ListParagraph"/>
    <w:uiPriority w:val="34"/>
    <w:locked/>
    <w:rsid w:val="000F251E"/>
    <w:rPr>
      <w:rFonts w:ascii="Arial" w:eastAsiaTheme="minorEastAsia" w:hAnsi="Arial" w:cs="Arial"/>
      <w:color w:val="000000"/>
      <w:kern w:val="0"/>
      <w:sz w:val="20"/>
      <w:szCs w:val="20"/>
      <w:lang w:val="hr-HR" w:eastAsia="fr-BE"/>
      <w14:ligatures w14:val="none"/>
    </w:rPr>
  </w:style>
  <w:style w:type="character" w:styleId="FollowedHyperlink">
    <w:name w:val="FollowedHyperlink"/>
    <w:basedOn w:val="DefaultParagraphFont"/>
    <w:uiPriority w:val="99"/>
    <w:semiHidden/>
    <w:unhideWhenUsed/>
    <w:rsid w:val="000F251E"/>
    <w:rPr>
      <w:color w:val="954F72" w:themeColor="followedHyperlink"/>
      <w:u w:val="single"/>
    </w:rPr>
  </w:style>
  <w:style w:type="character" w:customStyle="1" w:styleId="Heading1Char">
    <w:name w:val="Heading 1 Char"/>
    <w:basedOn w:val="DefaultParagraphFont"/>
    <w:link w:val="Heading1"/>
    <w:uiPriority w:val="9"/>
    <w:rsid w:val="00DD0DF2"/>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DD0DF2"/>
    <w:pPr>
      <w:spacing w:before="100" w:beforeAutospacing="1" w:after="100" w:afterAutospacing="1" w:line="240" w:lineRule="auto"/>
      <w:jc w:val="left"/>
    </w:pPr>
    <w:rPr>
      <w:sz w:val="24"/>
      <w:szCs w:val="24"/>
      <w:lang w:val="en-BE" w:eastAsia="en-GB"/>
    </w:rPr>
  </w:style>
  <w:style w:type="character" w:customStyle="1" w:styleId="apple-converted-space">
    <w:name w:val="apple-converted-space"/>
    <w:basedOn w:val="DefaultParagraphFont"/>
    <w:rsid w:val="00DD0DF2"/>
  </w:style>
  <w:style w:type="paragraph" w:customStyle="1" w:styleId="first">
    <w:name w:val="first"/>
    <w:basedOn w:val="Normal"/>
    <w:rsid w:val="00DD0DF2"/>
    <w:pPr>
      <w:spacing w:before="100" w:beforeAutospacing="1" w:after="100" w:afterAutospacing="1" w:line="240" w:lineRule="auto"/>
      <w:jc w:val="left"/>
    </w:pPr>
    <w:rPr>
      <w:sz w:val="24"/>
      <w:szCs w:val="24"/>
      <w:lang w:val="en-BE" w:eastAsia="en-GB"/>
    </w:rPr>
  </w:style>
  <w:style w:type="character" w:customStyle="1" w:styleId="block">
    <w:name w:val="block"/>
    <w:basedOn w:val="DefaultParagraphFont"/>
    <w:rsid w:val="00DD0DF2"/>
  </w:style>
  <w:style w:type="character" w:customStyle="1" w:styleId="field-label">
    <w:name w:val="field-label"/>
    <w:basedOn w:val="DefaultParagraphFont"/>
    <w:rsid w:val="00DD0DF2"/>
  </w:style>
  <w:style w:type="character" w:styleId="Strong">
    <w:name w:val="Strong"/>
    <w:basedOn w:val="DefaultParagraphFont"/>
    <w:uiPriority w:val="22"/>
    <w:qFormat/>
    <w:rsid w:val="00DD0DF2"/>
    <w:rPr>
      <w:b/>
      <w:bCs/>
    </w:rPr>
  </w:style>
  <w:style w:type="paragraph" w:customStyle="1" w:styleId="last">
    <w:name w:val="last"/>
    <w:basedOn w:val="Normal"/>
    <w:rsid w:val="00DC196C"/>
    <w:pPr>
      <w:spacing w:before="100" w:beforeAutospacing="1" w:after="100" w:afterAutospacing="1" w:line="240" w:lineRule="auto"/>
      <w:jc w:val="left"/>
    </w:pPr>
    <w:rPr>
      <w:sz w:val="24"/>
      <w:szCs w:val="24"/>
      <w:lang w:val="en-BE" w:eastAsia="en-GB"/>
    </w:rPr>
  </w:style>
  <w:style w:type="paragraph" w:styleId="HTMLPreformatted">
    <w:name w:val="HTML Preformatted"/>
    <w:basedOn w:val="Normal"/>
    <w:link w:val="HTMLPreformattedChar"/>
    <w:uiPriority w:val="99"/>
    <w:semiHidden/>
    <w:unhideWhenUsed/>
    <w:rsid w:val="00E44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n-BE" w:eastAsia="en-GB"/>
    </w:rPr>
  </w:style>
  <w:style w:type="character" w:customStyle="1" w:styleId="HTMLPreformattedChar">
    <w:name w:val="HTML Preformatted Char"/>
    <w:basedOn w:val="DefaultParagraphFont"/>
    <w:link w:val="HTMLPreformatted"/>
    <w:uiPriority w:val="99"/>
    <w:semiHidden/>
    <w:rsid w:val="00E44215"/>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E44215"/>
  </w:style>
  <w:style w:type="character" w:styleId="UnresolvedMention">
    <w:name w:val="Unresolved Mention"/>
    <w:basedOn w:val="DefaultParagraphFont"/>
    <w:uiPriority w:val="99"/>
    <w:semiHidden/>
    <w:unhideWhenUsed/>
    <w:rsid w:val="008E4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1033">
      <w:bodyDiv w:val="1"/>
      <w:marLeft w:val="0"/>
      <w:marRight w:val="0"/>
      <w:marTop w:val="0"/>
      <w:marBottom w:val="0"/>
      <w:divBdr>
        <w:top w:val="none" w:sz="0" w:space="0" w:color="auto"/>
        <w:left w:val="none" w:sz="0" w:space="0" w:color="auto"/>
        <w:bottom w:val="none" w:sz="0" w:space="0" w:color="auto"/>
        <w:right w:val="none" w:sz="0" w:space="0" w:color="auto"/>
      </w:divBdr>
    </w:div>
    <w:div w:id="306280135">
      <w:bodyDiv w:val="1"/>
      <w:marLeft w:val="0"/>
      <w:marRight w:val="0"/>
      <w:marTop w:val="0"/>
      <w:marBottom w:val="0"/>
      <w:divBdr>
        <w:top w:val="none" w:sz="0" w:space="0" w:color="auto"/>
        <w:left w:val="none" w:sz="0" w:space="0" w:color="auto"/>
        <w:bottom w:val="none" w:sz="0" w:space="0" w:color="auto"/>
        <w:right w:val="none" w:sz="0" w:space="0" w:color="auto"/>
      </w:divBdr>
      <w:divsChild>
        <w:div w:id="1901478429">
          <w:marLeft w:val="0"/>
          <w:marRight w:val="0"/>
          <w:marTop w:val="0"/>
          <w:marBottom w:val="0"/>
          <w:divBdr>
            <w:top w:val="none" w:sz="0" w:space="0" w:color="auto"/>
            <w:left w:val="none" w:sz="0" w:space="0" w:color="auto"/>
            <w:bottom w:val="none" w:sz="0" w:space="0" w:color="auto"/>
            <w:right w:val="none" w:sz="0" w:space="0" w:color="auto"/>
          </w:divBdr>
          <w:divsChild>
            <w:div w:id="97213199">
              <w:marLeft w:val="0"/>
              <w:marRight w:val="0"/>
              <w:marTop w:val="0"/>
              <w:marBottom w:val="0"/>
              <w:divBdr>
                <w:top w:val="none" w:sz="0" w:space="0" w:color="auto"/>
                <w:left w:val="none" w:sz="0" w:space="0" w:color="auto"/>
                <w:bottom w:val="none" w:sz="0" w:space="0" w:color="auto"/>
                <w:right w:val="none" w:sz="0" w:space="0" w:color="auto"/>
              </w:divBdr>
            </w:div>
          </w:divsChild>
        </w:div>
        <w:div w:id="534729850">
          <w:marLeft w:val="0"/>
          <w:marRight w:val="0"/>
          <w:marTop w:val="0"/>
          <w:marBottom w:val="0"/>
          <w:divBdr>
            <w:top w:val="none" w:sz="0" w:space="0" w:color="auto"/>
            <w:left w:val="none" w:sz="0" w:space="0" w:color="auto"/>
            <w:bottom w:val="single" w:sz="6" w:space="0" w:color="DBDBDB"/>
            <w:right w:val="none" w:sz="0" w:space="0" w:color="auto"/>
          </w:divBdr>
          <w:divsChild>
            <w:div w:id="1787432992">
              <w:marLeft w:val="0"/>
              <w:marRight w:val="0"/>
              <w:marTop w:val="0"/>
              <w:marBottom w:val="0"/>
              <w:divBdr>
                <w:top w:val="none" w:sz="0" w:space="0" w:color="auto"/>
                <w:left w:val="none" w:sz="0" w:space="0" w:color="auto"/>
                <w:bottom w:val="none" w:sz="0" w:space="0" w:color="auto"/>
                <w:right w:val="none" w:sz="0" w:space="0" w:color="auto"/>
              </w:divBdr>
              <w:divsChild>
                <w:div w:id="2031448874">
                  <w:marLeft w:val="0"/>
                  <w:marRight w:val="0"/>
                  <w:marTop w:val="0"/>
                  <w:marBottom w:val="0"/>
                  <w:divBdr>
                    <w:top w:val="none" w:sz="0" w:space="0" w:color="auto"/>
                    <w:left w:val="none" w:sz="0" w:space="0" w:color="auto"/>
                    <w:bottom w:val="none" w:sz="0" w:space="0" w:color="auto"/>
                    <w:right w:val="none" w:sz="0" w:space="0" w:color="auto"/>
                  </w:divBdr>
                </w:div>
                <w:div w:id="9161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8420">
          <w:marLeft w:val="0"/>
          <w:marRight w:val="0"/>
          <w:marTop w:val="300"/>
          <w:marBottom w:val="300"/>
          <w:divBdr>
            <w:top w:val="none" w:sz="0" w:space="0" w:color="auto"/>
            <w:left w:val="none" w:sz="0" w:space="0" w:color="auto"/>
            <w:bottom w:val="none" w:sz="0" w:space="0" w:color="auto"/>
            <w:right w:val="none" w:sz="0" w:space="0" w:color="auto"/>
          </w:divBdr>
          <w:divsChild>
            <w:div w:id="1628077965">
              <w:marLeft w:val="0"/>
              <w:marRight w:val="0"/>
              <w:marTop w:val="0"/>
              <w:marBottom w:val="0"/>
              <w:divBdr>
                <w:top w:val="none" w:sz="0" w:space="0" w:color="auto"/>
                <w:left w:val="none" w:sz="0" w:space="0" w:color="auto"/>
                <w:bottom w:val="none" w:sz="0" w:space="0" w:color="auto"/>
                <w:right w:val="none" w:sz="0" w:space="0" w:color="auto"/>
              </w:divBdr>
            </w:div>
          </w:divsChild>
        </w:div>
        <w:div w:id="1654794245">
          <w:marLeft w:val="0"/>
          <w:marRight w:val="0"/>
          <w:marTop w:val="0"/>
          <w:marBottom w:val="0"/>
          <w:divBdr>
            <w:top w:val="none" w:sz="0" w:space="0" w:color="auto"/>
            <w:left w:val="none" w:sz="0" w:space="0" w:color="auto"/>
            <w:bottom w:val="none" w:sz="0" w:space="0" w:color="auto"/>
            <w:right w:val="none" w:sz="0" w:space="0" w:color="auto"/>
          </w:divBdr>
          <w:divsChild>
            <w:div w:id="76677269">
              <w:marLeft w:val="0"/>
              <w:marRight w:val="0"/>
              <w:marTop w:val="0"/>
              <w:marBottom w:val="0"/>
              <w:divBdr>
                <w:top w:val="none" w:sz="0" w:space="0" w:color="auto"/>
                <w:left w:val="none" w:sz="0" w:space="0" w:color="auto"/>
                <w:bottom w:val="none" w:sz="0" w:space="0" w:color="auto"/>
                <w:right w:val="none" w:sz="0" w:space="0" w:color="auto"/>
              </w:divBdr>
              <w:divsChild>
                <w:div w:id="1974288499">
                  <w:marLeft w:val="0"/>
                  <w:marRight w:val="0"/>
                  <w:marTop w:val="0"/>
                  <w:marBottom w:val="0"/>
                  <w:divBdr>
                    <w:top w:val="none" w:sz="0" w:space="0" w:color="auto"/>
                    <w:left w:val="none" w:sz="0" w:space="0" w:color="auto"/>
                    <w:bottom w:val="none" w:sz="0" w:space="0" w:color="auto"/>
                    <w:right w:val="none" w:sz="0" w:space="0" w:color="auto"/>
                  </w:divBdr>
                  <w:divsChild>
                    <w:div w:id="396633721">
                      <w:marLeft w:val="0"/>
                      <w:marRight w:val="0"/>
                      <w:marTop w:val="0"/>
                      <w:marBottom w:val="0"/>
                      <w:divBdr>
                        <w:top w:val="none" w:sz="0" w:space="0" w:color="auto"/>
                        <w:left w:val="none" w:sz="0" w:space="0" w:color="auto"/>
                        <w:bottom w:val="none" w:sz="0" w:space="0" w:color="auto"/>
                        <w:right w:val="none" w:sz="0" w:space="0" w:color="auto"/>
                      </w:divBdr>
                      <w:divsChild>
                        <w:div w:id="1127233967">
                          <w:marLeft w:val="0"/>
                          <w:marRight w:val="0"/>
                          <w:marTop w:val="0"/>
                          <w:marBottom w:val="0"/>
                          <w:divBdr>
                            <w:top w:val="none" w:sz="0" w:space="0" w:color="auto"/>
                            <w:left w:val="none" w:sz="0" w:space="0" w:color="auto"/>
                            <w:bottom w:val="none" w:sz="0" w:space="0" w:color="auto"/>
                            <w:right w:val="none" w:sz="0" w:space="0" w:color="auto"/>
                          </w:divBdr>
                          <w:divsChild>
                            <w:div w:id="572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895">
          <w:marLeft w:val="0"/>
          <w:marRight w:val="0"/>
          <w:marTop w:val="0"/>
          <w:marBottom w:val="0"/>
          <w:divBdr>
            <w:top w:val="none" w:sz="0" w:space="0" w:color="auto"/>
            <w:left w:val="none" w:sz="0" w:space="0" w:color="auto"/>
            <w:bottom w:val="none" w:sz="0" w:space="0" w:color="auto"/>
            <w:right w:val="none" w:sz="0" w:space="0" w:color="auto"/>
          </w:divBdr>
        </w:div>
      </w:divsChild>
    </w:div>
    <w:div w:id="507522984">
      <w:bodyDiv w:val="1"/>
      <w:marLeft w:val="0"/>
      <w:marRight w:val="0"/>
      <w:marTop w:val="0"/>
      <w:marBottom w:val="0"/>
      <w:divBdr>
        <w:top w:val="none" w:sz="0" w:space="0" w:color="auto"/>
        <w:left w:val="none" w:sz="0" w:space="0" w:color="auto"/>
        <w:bottom w:val="none" w:sz="0" w:space="0" w:color="auto"/>
        <w:right w:val="none" w:sz="0" w:space="0" w:color="auto"/>
      </w:divBdr>
    </w:div>
    <w:div w:id="1045717384">
      <w:bodyDiv w:val="1"/>
      <w:marLeft w:val="0"/>
      <w:marRight w:val="0"/>
      <w:marTop w:val="0"/>
      <w:marBottom w:val="0"/>
      <w:divBdr>
        <w:top w:val="none" w:sz="0" w:space="0" w:color="auto"/>
        <w:left w:val="none" w:sz="0" w:space="0" w:color="auto"/>
        <w:bottom w:val="none" w:sz="0" w:space="0" w:color="auto"/>
        <w:right w:val="none" w:sz="0" w:space="0" w:color="auto"/>
      </w:divBdr>
    </w:div>
    <w:div w:id="1317878171">
      <w:bodyDiv w:val="1"/>
      <w:marLeft w:val="0"/>
      <w:marRight w:val="0"/>
      <w:marTop w:val="0"/>
      <w:marBottom w:val="0"/>
      <w:divBdr>
        <w:top w:val="none" w:sz="0" w:space="0" w:color="auto"/>
        <w:left w:val="none" w:sz="0" w:space="0" w:color="auto"/>
        <w:bottom w:val="none" w:sz="0" w:space="0" w:color="auto"/>
        <w:right w:val="none" w:sz="0" w:space="0" w:color="auto"/>
      </w:divBdr>
    </w:div>
    <w:div w:id="1336615151">
      <w:bodyDiv w:val="1"/>
      <w:marLeft w:val="0"/>
      <w:marRight w:val="0"/>
      <w:marTop w:val="0"/>
      <w:marBottom w:val="0"/>
      <w:divBdr>
        <w:top w:val="none" w:sz="0" w:space="0" w:color="auto"/>
        <w:left w:val="none" w:sz="0" w:space="0" w:color="auto"/>
        <w:bottom w:val="none" w:sz="0" w:space="0" w:color="auto"/>
        <w:right w:val="none" w:sz="0" w:space="0" w:color="auto"/>
      </w:divBdr>
    </w:div>
    <w:div w:id="1654987588">
      <w:bodyDiv w:val="1"/>
      <w:marLeft w:val="0"/>
      <w:marRight w:val="0"/>
      <w:marTop w:val="0"/>
      <w:marBottom w:val="0"/>
      <w:divBdr>
        <w:top w:val="none" w:sz="0" w:space="0" w:color="auto"/>
        <w:left w:val="none" w:sz="0" w:space="0" w:color="auto"/>
        <w:bottom w:val="none" w:sz="0" w:space="0" w:color="auto"/>
        <w:right w:val="none" w:sz="0" w:space="0" w:color="auto"/>
      </w:divBdr>
    </w:div>
    <w:div w:id="1709572570">
      <w:bodyDiv w:val="1"/>
      <w:marLeft w:val="0"/>
      <w:marRight w:val="0"/>
      <w:marTop w:val="0"/>
      <w:marBottom w:val="0"/>
      <w:divBdr>
        <w:top w:val="none" w:sz="0" w:space="0" w:color="auto"/>
        <w:left w:val="none" w:sz="0" w:space="0" w:color="auto"/>
        <w:bottom w:val="none" w:sz="0" w:space="0" w:color="auto"/>
        <w:right w:val="none" w:sz="0" w:space="0" w:color="auto"/>
      </w:divBdr>
    </w:div>
    <w:div w:id="1826821100">
      <w:bodyDiv w:val="1"/>
      <w:marLeft w:val="0"/>
      <w:marRight w:val="0"/>
      <w:marTop w:val="0"/>
      <w:marBottom w:val="0"/>
      <w:divBdr>
        <w:top w:val="none" w:sz="0" w:space="0" w:color="auto"/>
        <w:left w:val="none" w:sz="0" w:space="0" w:color="auto"/>
        <w:bottom w:val="none" w:sz="0" w:space="0" w:color="auto"/>
        <w:right w:val="none" w:sz="0" w:space="0" w:color="auto"/>
      </w:divBdr>
    </w:div>
    <w:div w:id="2069106621">
      <w:bodyDiv w:val="1"/>
      <w:marLeft w:val="0"/>
      <w:marRight w:val="0"/>
      <w:marTop w:val="0"/>
      <w:marBottom w:val="0"/>
      <w:divBdr>
        <w:top w:val="none" w:sz="0" w:space="0" w:color="auto"/>
        <w:left w:val="none" w:sz="0" w:space="0" w:color="auto"/>
        <w:bottom w:val="none" w:sz="0" w:space="0" w:color="auto"/>
        <w:right w:val="none" w:sz="0" w:space="0" w:color="auto"/>
      </w:divBdr>
      <w:divsChild>
        <w:div w:id="2044092391">
          <w:marLeft w:val="0"/>
          <w:marRight w:val="0"/>
          <w:marTop w:val="0"/>
          <w:marBottom w:val="0"/>
          <w:divBdr>
            <w:top w:val="none" w:sz="0" w:space="0" w:color="auto"/>
            <w:left w:val="none" w:sz="0" w:space="0" w:color="auto"/>
            <w:bottom w:val="none" w:sz="0" w:space="0" w:color="auto"/>
            <w:right w:val="none" w:sz="0" w:space="0" w:color="auto"/>
          </w:divBdr>
          <w:divsChild>
            <w:div w:id="385908641">
              <w:marLeft w:val="0"/>
              <w:marRight w:val="0"/>
              <w:marTop w:val="0"/>
              <w:marBottom w:val="0"/>
              <w:divBdr>
                <w:top w:val="none" w:sz="0" w:space="0" w:color="auto"/>
                <w:left w:val="none" w:sz="0" w:space="0" w:color="auto"/>
                <w:bottom w:val="none" w:sz="0" w:space="0" w:color="auto"/>
                <w:right w:val="none" w:sz="0" w:space="0" w:color="auto"/>
              </w:divBdr>
            </w:div>
          </w:divsChild>
        </w:div>
        <w:div w:id="697199934">
          <w:marLeft w:val="0"/>
          <w:marRight w:val="0"/>
          <w:marTop w:val="0"/>
          <w:marBottom w:val="0"/>
          <w:divBdr>
            <w:top w:val="none" w:sz="0" w:space="0" w:color="auto"/>
            <w:left w:val="none" w:sz="0" w:space="0" w:color="auto"/>
            <w:bottom w:val="single" w:sz="6" w:space="0" w:color="DBDBDB"/>
            <w:right w:val="none" w:sz="0" w:space="0" w:color="auto"/>
          </w:divBdr>
          <w:divsChild>
            <w:div w:id="722409491">
              <w:marLeft w:val="0"/>
              <w:marRight w:val="0"/>
              <w:marTop w:val="0"/>
              <w:marBottom w:val="0"/>
              <w:divBdr>
                <w:top w:val="none" w:sz="0" w:space="0" w:color="auto"/>
                <w:left w:val="none" w:sz="0" w:space="0" w:color="auto"/>
                <w:bottom w:val="none" w:sz="0" w:space="0" w:color="auto"/>
                <w:right w:val="none" w:sz="0" w:space="0" w:color="auto"/>
              </w:divBdr>
              <w:divsChild>
                <w:div w:id="1046953385">
                  <w:marLeft w:val="0"/>
                  <w:marRight w:val="0"/>
                  <w:marTop w:val="0"/>
                  <w:marBottom w:val="0"/>
                  <w:divBdr>
                    <w:top w:val="none" w:sz="0" w:space="0" w:color="auto"/>
                    <w:left w:val="none" w:sz="0" w:space="0" w:color="auto"/>
                    <w:bottom w:val="none" w:sz="0" w:space="0" w:color="auto"/>
                    <w:right w:val="none" w:sz="0" w:space="0" w:color="auto"/>
                  </w:divBdr>
                </w:div>
                <w:div w:id="2546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5298">
          <w:marLeft w:val="0"/>
          <w:marRight w:val="0"/>
          <w:marTop w:val="300"/>
          <w:marBottom w:val="300"/>
          <w:divBdr>
            <w:top w:val="none" w:sz="0" w:space="0" w:color="auto"/>
            <w:left w:val="none" w:sz="0" w:space="0" w:color="auto"/>
            <w:bottom w:val="none" w:sz="0" w:space="0" w:color="auto"/>
            <w:right w:val="none" w:sz="0" w:space="0" w:color="auto"/>
          </w:divBdr>
          <w:divsChild>
            <w:div w:id="254100257">
              <w:marLeft w:val="0"/>
              <w:marRight w:val="0"/>
              <w:marTop w:val="0"/>
              <w:marBottom w:val="0"/>
              <w:divBdr>
                <w:top w:val="none" w:sz="0" w:space="0" w:color="auto"/>
                <w:left w:val="none" w:sz="0" w:space="0" w:color="auto"/>
                <w:bottom w:val="none" w:sz="0" w:space="0" w:color="auto"/>
                <w:right w:val="none" w:sz="0" w:space="0" w:color="auto"/>
              </w:divBdr>
            </w:div>
          </w:divsChild>
        </w:div>
        <w:div w:id="1062868293">
          <w:marLeft w:val="0"/>
          <w:marRight w:val="0"/>
          <w:marTop w:val="0"/>
          <w:marBottom w:val="0"/>
          <w:divBdr>
            <w:top w:val="none" w:sz="0" w:space="0" w:color="auto"/>
            <w:left w:val="none" w:sz="0" w:space="0" w:color="auto"/>
            <w:bottom w:val="none" w:sz="0" w:space="0" w:color="auto"/>
            <w:right w:val="none" w:sz="0" w:space="0" w:color="auto"/>
          </w:divBdr>
          <w:divsChild>
            <w:div w:id="1775396639">
              <w:marLeft w:val="0"/>
              <w:marRight w:val="0"/>
              <w:marTop w:val="0"/>
              <w:marBottom w:val="0"/>
              <w:divBdr>
                <w:top w:val="none" w:sz="0" w:space="0" w:color="auto"/>
                <w:left w:val="none" w:sz="0" w:space="0" w:color="auto"/>
                <w:bottom w:val="none" w:sz="0" w:space="0" w:color="auto"/>
                <w:right w:val="none" w:sz="0" w:space="0" w:color="auto"/>
              </w:divBdr>
              <w:divsChild>
                <w:div w:id="1720980157">
                  <w:marLeft w:val="0"/>
                  <w:marRight w:val="0"/>
                  <w:marTop w:val="0"/>
                  <w:marBottom w:val="0"/>
                  <w:divBdr>
                    <w:top w:val="none" w:sz="0" w:space="0" w:color="auto"/>
                    <w:left w:val="none" w:sz="0" w:space="0" w:color="auto"/>
                    <w:bottom w:val="none" w:sz="0" w:space="0" w:color="auto"/>
                    <w:right w:val="none" w:sz="0" w:space="0" w:color="auto"/>
                  </w:divBdr>
                  <w:divsChild>
                    <w:div w:id="1382555176">
                      <w:marLeft w:val="0"/>
                      <w:marRight w:val="0"/>
                      <w:marTop w:val="0"/>
                      <w:marBottom w:val="0"/>
                      <w:divBdr>
                        <w:top w:val="none" w:sz="0" w:space="0" w:color="auto"/>
                        <w:left w:val="none" w:sz="0" w:space="0" w:color="auto"/>
                        <w:bottom w:val="none" w:sz="0" w:space="0" w:color="auto"/>
                        <w:right w:val="none" w:sz="0" w:space="0" w:color="auto"/>
                      </w:divBdr>
                      <w:divsChild>
                        <w:div w:id="1704015571">
                          <w:marLeft w:val="0"/>
                          <w:marRight w:val="0"/>
                          <w:marTop w:val="0"/>
                          <w:marBottom w:val="0"/>
                          <w:divBdr>
                            <w:top w:val="none" w:sz="0" w:space="0" w:color="auto"/>
                            <w:left w:val="none" w:sz="0" w:space="0" w:color="auto"/>
                            <w:bottom w:val="none" w:sz="0" w:space="0" w:color="auto"/>
                            <w:right w:val="none" w:sz="0" w:space="0" w:color="auto"/>
                          </w:divBdr>
                          <w:divsChild>
                            <w:div w:id="10993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api2016.eesc.europa.eu/v1/documents/EESC-2023-00563-00-00-AC-TRA-HR.docx/cont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berspage.eesc.europa.eu/Search/Details/Person/2014084?onlyActiveMandate=True&amp;isMinimal=False" TargetMode="External"/><Relationship Id="rId5" Type="http://schemas.openxmlformats.org/officeDocument/2006/relationships/footnotes" Target="footnotes.xml"/><Relationship Id="rId10" Type="http://schemas.openxmlformats.org/officeDocument/2006/relationships/hyperlink" Target="misljenja%20plenarno%20zasjedanje%20lipanj%202023"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5128</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Martinović</dc:creator>
  <cp:keywords/>
  <dc:description/>
  <cp:lastModifiedBy>Dragica Martinović</cp:lastModifiedBy>
  <cp:revision>1</cp:revision>
  <dcterms:created xsi:type="dcterms:W3CDTF">2023-06-10T13:56:00Z</dcterms:created>
  <dcterms:modified xsi:type="dcterms:W3CDTF">2023-06-11T15:48:00Z</dcterms:modified>
</cp:coreProperties>
</file>