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59" w:rsidRDefault="00236359" w:rsidP="00236359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66675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k-hg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59" w:rsidRDefault="00236359" w:rsidP="00236359">
      <w:pPr>
        <w:rPr>
          <w:noProof/>
          <w:lang w:eastAsia="hr-HR"/>
        </w:rPr>
      </w:pPr>
    </w:p>
    <w:p w:rsidR="00236359" w:rsidRPr="00236359" w:rsidRDefault="00236359" w:rsidP="00236359">
      <w:pPr>
        <w:spacing w:line="360" w:lineRule="auto"/>
        <w:jc w:val="center"/>
        <w:rPr>
          <w:rFonts w:ascii="Times New Roman" w:hAnsi="Times New Roman"/>
          <w:b/>
          <w:noProof/>
          <w:color w:val="7F7F7F" w:themeColor="text1" w:themeTint="80"/>
          <w:sz w:val="28"/>
          <w:szCs w:val="28"/>
          <w:lang w:eastAsia="hr-HR"/>
        </w:rPr>
      </w:pPr>
      <w:r w:rsidRPr="00236359">
        <w:rPr>
          <w:rFonts w:ascii="Times New Roman" w:hAnsi="Times New Roman"/>
          <w:b/>
          <w:noProof/>
          <w:color w:val="7F7F7F" w:themeColor="text1" w:themeTint="80"/>
          <w:sz w:val="28"/>
          <w:szCs w:val="28"/>
          <w:lang w:eastAsia="hr-HR"/>
        </w:rPr>
        <w:t>HRVATSKA GOSPODARSKA KOMORA</w:t>
      </w:r>
    </w:p>
    <w:p w:rsidR="00236359" w:rsidRPr="00236359" w:rsidRDefault="00236359" w:rsidP="00236359">
      <w:pPr>
        <w:spacing w:line="360" w:lineRule="auto"/>
        <w:jc w:val="center"/>
        <w:rPr>
          <w:rFonts w:ascii="Times New Roman" w:hAnsi="Times New Roman"/>
          <w:b/>
          <w:noProof/>
          <w:color w:val="7F7F7F" w:themeColor="text1" w:themeTint="80"/>
          <w:sz w:val="28"/>
          <w:szCs w:val="28"/>
          <w:lang w:eastAsia="hr-HR"/>
        </w:rPr>
      </w:pPr>
      <w:r w:rsidRPr="00236359">
        <w:rPr>
          <w:rFonts w:ascii="Times New Roman" w:hAnsi="Times New Roman"/>
          <w:b/>
          <w:noProof/>
          <w:color w:val="7F7F7F" w:themeColor="text1" w:themeTint="80"/>
          <w:sz w:val="28"/>
          <w:szCs w:val="28"/>
          <w:lang w:eastAsia="hr-HR"/>
        </w:rPr>
        <w:tab/>
        <w:t>Županijska komora Osijek</w:t>
      </w:r>
    </w:p>
    <w:p w:rsidR="00236359" w:rsidRDefault="00236359" w:rsidP="00236359">
      <w:pPr>
        <w:rPr>
          <w:noProof/>
          <w:lang w:eastAsia="hr-HR"/>
        </w:rPr>
      </w:pPr>
    </w:p>
    <w:p w:rsidR="00236359" w:rsidRDefault="00236359" w:rsidP="00236359">
      <w:pPr>
        <w:rPr>
          <w:noProof/>
          <w:lang w:eastAsia="hr-HR"/>
        </w:rPr>
      </w:pPr>
    </w:p>
    <w:p w:rsidR="00236359" w:rsidRDefault="00236359" w:rsidP="00236359">
      <w:pPr>
        <w:rPr>
          <w:noProof/>
          <w:lang w:eastAsia="hr-HR"/>
        </w:rPr>
      </w:pPr>
    </w:p>
    <w:p w:rsidR="00236359" w:rsidRDefault="00236359" w:rsidP="00236359">
      <w:pPr>
        <w:rPr>
          <w:noProof/>
          <w:lang w:eastAsia="hr-HR"/>
        </w:rPr>
      </w:pPr>
    </w:p>
    <w:p w:rsidR="00236359" w:rsidRDefault="00236359" w:rsidP="00236359">
      <w:r>
        <w:rPr>
          <w:noProof/>
          <w:lang w:eastAsia="hr-HR"/>
        </w:rPr>
        <w:drawing>
          <wp:inline distT="0" distB="0" distL="0" distR="0">
            <wp:extent cx="5829300" cy="3562350"/>
            <wp:effectExtent l="0" t="0" r="0" b="0"/>
            <wp:docPr id="1" name="Picture 1" descr="C:\My Documents\My Pictures\clip art\razno\hgk_pla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My Pictures\clip art\razno\hgk_plav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359" w:rsidRDefault="00236359" w:rsidP="00236359">
      <w:pPr>
        <w:jc w:val="center"/>
        <w:rPr>
          <w:rFonts w:ascii="Calibri" w:hAnsi="Calibri"/>
          <w:b/>
          <w:sz w:val="52"/>
          <w:szCs w:val="52"/>
        </w:rPr>
      </w:pPr>
    </w:p>
    <w:p w:rsidR="00236359" w:rsidRDefault="00236359" w:rsidP="00236359">
      <w:pPr>
        <w:jc w:val="center"/>
        <w:rPr>
          <w:rFonts w:ascii="Calibri" w:hAnsi="Calibri"/>
          <w:b/>
          <w:sz w:val="52"/>
          <w:szCs w:val="52"/>
        </w:rPr>
      </w:pPr>
      <w:r w:rsidRPr="005D5125">
        <w:rPr>
          <w:rFonts w:ascii="Calibri" w:hAnsi="Calibri"/>
          <w:b/>
          <w:sz w:val="52"/>
          <w:szCs w:val="52"/>
        </w:rPr>
        <w:t>Pokazatelji poslovanja malog gospodarstva Osječko-baranjske županije u 2014.g.</w:t>
      </w:r>
    </w:p>
    <w:p w:rsidR="00D62C7B" w:rsidRDefault="00D62C7B"/>
    <w:p w:rsidR="00236359" w:rsidRDefault="00236359"/>
    <w:p w:rsidR="00236359" w:rsidRDefault="00236359"/>
    <w:p w:rsidR="00236359" w:rsidRDefault="00236359"/>
    <w:p w:rsidR="00EA7E56" w:rsidRPr="00EA7E56" w:rsidRDefault="00EA7E56" w:rsidP="00EA7E56">
      <w:pPr>
        <w:jc w:val="center"/>
        <w:rPr>
          <w:b/>
          <w:sz w:val="20"/>
          <w:szCs w:val="20"/>
        </w:rPr>
      </w:pPr>
      <w:r w:rsidRPr="00EA7E56">
        <w:rPr>
          <w:b/>
          <w:sz w:val="20"/>
          <w:szCs w:val="20"/>
        </w:rPr>
        <w:t>Europske avenije 13, HR-31000 OSIJEK, tel.: +385 (0)31 223-800, fax (0)31 223-824</w:t>
      </w:r>
    </w:p>
    <w:p w:rsidR="00236359" w:rsidRPr="00EA7E56" w:rsidRDefault="00EA7E56" w:rsidP="00EA7E56">
      <w:pPr>
        <w:jc w:val="center"/>
        <w:rPr>
          <w:b/>
          <w:sz w:val="20"/>
          <w:szCs w:val="20"/>
        </w:rPr>
      </w:pPr>
      <w:r w:rsidRPr="00EA7E56">
        <w:rPr>
          <w:b/>
          <w:sz w:val="20"/>
          <w:szCs w:val="20"/>
        </w:rPr>
        <w:t>e-mail:hgkos@hgk.hr, www.hgk.hr</w:t>
      </w:r>
    </w:p>
    <w:p w:rsidR="00236359" w:rsidRDefault="00236359"/>
    <w:p w:rsidR="00236359" w:rsidRDefault="00236359"/>
    <w:p w:rsidR="00236359" w:rsidRDefault="00236359"/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 xml:space="preserve">Malo gospodarstvo kao razvojna i pokretačka snaga svakog gospodarstva temelj je uspješnosti pojedine države. Kao najdinamičniji dio gospodarstva ono je generator novog zapošljavanja i povećanja proizvodnje, inovativnosti i kreativnosti. 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>U Hrvatskoj je u 2014.g. udio broja malih tvrtki u ukupnom broju trgovačkih društava iznosio 97,3%. One su ostvarile 36,2% ukupnog prihoda svih tvrtki, 36,2% dobiti, 45,1% gubitka, a zapošljavale su 56,1% svih zaposlenih u trgovačkim društvima.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>Malo gospodarstvo, osim trgovačkih društava (pravne osobe) obuhvaća i obrtnike (fizičke osobe).</w:t>
      </w:r>
    </w:p>
    <w:p w:rsidR="00CA53DE" w:rsidRPr="00CA53DE" w:rsidRDefault="00CA53DE" w:rsidP="00CA53DE">
      <w:pPr>
        <w:rPr>
          <w:rFonts w:ascii="Times New Roman" w:eastAsia="Times New Roman" w:hAnsi="Times New Roman"/>
          <w:lang w:eastAsia="hr-HR"/>
        </w:rPr>
      </w:pPr>
    </w:p>
    <w:p w:rsidR="00CA53DE" w:rsidRDefault="00CA53DE" w:rsidP="00CA53DE">
      <w:pPr>
        <w:keepNext/>
        <w:outlineLvl w:val="1"/>
        <w:rPr>
          <w:rFonts w:ascii="Times New Roman" w:eastAsia="Times New Roman" w:hAnsi="Times New Roman"/>
          <w:bCs/>
          <w:sz w:val="22"/>
          <w:szCs w:val="22"/>
          <w:lang w:eastAsia="hr-HR"/>
        </w:rPr>
      </w:pPr>
      <w:r w:rsidRPr="00CA53DE">
        <w:rPr>
          <w:rFonts w:ascii="Times New Roman" w:eastAsia="Times New Roman" w:hAnsi="Times New Roman"/>
          <w:bCs/>
          <w:sz w:val="22"/>
          <w:szCs w:val="22"/>
          <w:lang w:eastAsia="hr-HR"/>
        </w:rPr>
        <w:t>Tablica 1.  Kretanje broja aktivnih trgovačkih društava u Osječko-baranjskoj županiji prema veličini</w:t>
      </w:r>
    </w:p>
    <w:p w:rsidR="00CA53DE" w:rsidRPr="00CA53DE" w:rsidRDefault="00CA53DE" w:rsidP="00CA53DE">
      <w:pPr>
        <w:keepNext/>
        <w:outlineLvl w:val="1"/>
        <w:rPr>
          <w:rFonts w:ascii="Times New Roman" w:eastAsia="Times New Roman" w:hAnsi="Times New Roman"/>
          <w:bCs/>
          <w:sz w:val="22"/>
          <w:szCs w:val="22"/>
          <w:lang w:eastAsia="hr-HR"/>
        </w:rPr>
      </w:pPr>
    </w:p>
    <w:tbl>
      <w:tblPr>
        <w:tblW w:w="6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CA53DE" w:rsidRPr="00CA53DE" w:rsidTr="00355161">
        <w:trPr>
          <w:trHeight w:val="297"/>
          <w:jc w:val="center"/>
        </w:trPr>
        <w:tc>
          <w:tcPr>
            <w:tcW w:w="861" w:type="dxa"/>
            <w:vAlign w:val="center"/>
          </w:tcPr>
          <w:p w:rsidR="00CA53DE" w:rsidRPr="00CA53DE" w:rsidRDefault="00CA53DE" w:rsidP="00CA53DE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2006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2007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2008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2009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2010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2011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2012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665" w:type="dxa"/>
          </w:tcPr>
          <w:p w:rsidR="00CA53DE" w:rsidRPr="00CA53DE" w:rsidRDefault="00CA53DE" w:rsidP="00CA53D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2014</w:t>
            </w:r>
          </w:p>
        </w:tc>
      </w:tr>
      <w:tr w:rsidR="00CA53DE" w:rsidRPr="00CA53DE" w:rsidTr="00355161">
        <w:trPr>
          <w:trHeight w:val="249"/>
          <w:jc w:val="center"/>
        </w:trPr>
        <w:tc>
          <w:tcPr>
            <w:tcW w:w="861" w:type="dxa"/>
          </w:tcPr>
          <w:p w:rsidR="00CA53DE" w:rsidRPr="00CA53DE" w:rsidRDefault="00CA53DE" w:rsidP="00CA53DE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Veliki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665" w:type="dxa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21</w:t>
            </w:r>
          </w:p>
        </w:tc>
      </w:tr>
      <w:tr w:rsidR="00CA53DE" w:rsidRPr="00CA53DE" w:rsidTr="00355161">
        <w:trPr>
          <w:trHeight w:val="249"/>
          <w:jc w:val="center"/>
        </w:trPr>
        <w:tc>
          <w:tcPr>
            <w:tcW w:w="861" w:type="dxa"/>
          </w:tcPr>
          <w:p w:rsidR="00CA53DE" w:rsidRPr="00CA53DE" w:rsidRDefault="00CA53DE" w:rsidP="00CA53DE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Srednji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95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665" w:type="dxa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62</w:t>
            </w:r>
          </w:p>
        </w:tc>
      </w:tr>
      <w:tr w:rsidR="00CA53DE" w:rsidRPr="00CA53DE" w:rsidTr="00355161">
        <w:trPr>
          <w:trHeight w:val="249"/>
          <w:jc w:val="center"/>
        </w:trPr>
        <w:tc>
          <w:tcPr>
            <w:tcW w:w="861" w:type="dxa"/>
          </w:tcPr>
          <w:p w:rsidR="00CA53DE" w:rsidRPr="00CA53DE" w:rsidRDefault="00CA53DE" w:rsidP="00CA53DE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Mali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3200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3.415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3.335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3.271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3.471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3.482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3.439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3.687</w:t>
            </w:r>
          </w:p>
        </w:tc>
        <w:tc>
          <w:tcPr>
            <w:tcW w:w="665" w:type="dxa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3.934</w:t>
            </w:r>
          </w:p>
        </w:tc>
      </w:tr>
      <w:tr w:rsidR="00CA53DE" w:rsidRPr="00CA53DE" w:rsidTr="00355161">
        <w:trPr>
          <w:trHeight w:val="264"/>
          <w:jc w:val="center"/>
        </w:trPr>
        <w:tc>
          <w:tcPr>
            <w:tcW w:w="861" w:type="dxa"/>
          </w:tcPr>
          <w:p w:rsidR="00CA53DE" w:rsidRPr="00CA53DE" w:rsidRDefault="00CA53DE" w:rsidP="00CA53DE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3.315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3.535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3.326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3.379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3.567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3.575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3.528</w:t>
            </w:r>
          </w:p>
        </w:tc>
        <w:tc>
          <w:tcPr>
            <w:tcW w:w="665" w:type="dxa"/>
            <w:vAlign w:val="center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3.775</w:t>
            </w:r>
          </w:p>
        </w:tc>
        <w:tc>
          <w:tcPr>
            <w:tcW w:w="665" w:type="dxa"/>
          </w:tcPr>
          <w:p w:rsidR="00CA53DE" w:rsidRPr="00CA53DE" w:rsidRDefault="00CA53DE" w:rsidP="00CA53DE">
            <w:pPr>
              <w:ind w:right="44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4.017</w:t>
            </w:r>
          </w:p>
        </w:tc>
      </w:tr>
    </w:tbl>
    <w:p w:rsidR="00CA53DE" w:rsidRPr="00CA53DE" w:rsidRDefault="00CA53DE" w:rsidP="00CA53DE">
      <w:pPr>
        <w:ind w:firstLine="1134"/>
        <w:rPr>
          <w:rFonts w:ascii="Times New Roman" w:eastAsia="Times New Roman" w:hAnsi="Times New Roman"/>
          <w:sz w:val="20"/>
          <w:lang w:eastAsia="hr-HR"/>
        </w:rPr>
      </w:pPr>
      <w:r w:rsidRPr="00CA53DE">
        <w:rPr>
          <w:rFonts w:ascii="Times New Roman" w:eastAsia="Times New Roman" w:hAnsi="Times New Roman"/>
          <w:sz w:val="20"/>
          <w:lang w:eastAsia="hr-HR"/>
        </w:rPr>
        <w:t>Izvor: FINA, obrada ŽK Osijek</w:t>
      </w:r>
    </w:p>
    <w:p w:rsidR="00CA53DE" w:rsidRPr="00CA53DE" w:rsidRDefault="00CA53DE" w:rsidP="00CA53DE">
      <w:pPr>
        <w:rPr>
          <w:rFonts w:ascii="Times New Roman" w:eastAsia="Times New Roman" w:hAnsi="Times New Roman"/>
          <w:sz w:val="20"/>
          <w:lang w:eastAsia="hr-HR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>Od ukupnog broja predanih financijskih izvještaja trgovačkih društava s područja Županije za 2014. god., promatrano prema veličini poduzetnika, njih  4.017 ili 97,3% odnosi se na male poduzetnike, 62 ili 1,5%  na srednje velike, a 21 ili  0,5% na velike poduzetnike.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>Iz kretanja broja aktivnih poduzeća, dakle onih koji su predali statistička izvješća o svom poslovanju (Tablica 1) uočava se povećanje broja malih tvrtki za 6,3% ili 247 tvrtki, smanjenje broja velikih tvrtki za 8,7% ili 2 tvrtke, te smanjenje broja srednjih tvrtki za 4,6% ili 3 tvrtke  u odnosu na prethodnu 2013. godinu.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>Tablica 2.  Financijski rezultati  poduzetnika 2013. i 2014.god. – prema veličini poduzetnika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</w:p>
    <w:tbl>
      <w:tblPr>
        <w:tblW w:w="10021" w:type="dxa"/>
        <w:jc w:val="center"/>
        <w:tblInd w:w="-514" w:type="dxa"/>
        <w:tblLook w:val="0000" w:firstRow="0" w:lastRow="0" w:firstColumn="0" w:lastColumn="0" w:noHBand="0" w:noVBand="0"/>
      </w:tblPr>
      <w:tblGrid>
        <w:gridCol w:w="1432"/>
        <w:gridCol w:w="833"/>
        <w:gridCol w:w="713"/>
        <w:gridCol w:w="666"/>
        <w:gridCol w:w="711"/>
        <w:gridCol w:w="711"/>
        <w:gridCol w:w="666"/>
        <w:gridCol w:w="761"/>
        <w:gridCol w:w="761"/>
        <w:gridCol w:w="621"/>
        <w:gridCol w:w="764"/>
        <w:gridCol w:w="761"/>
        <w:gridCol w:w="621"/>
      </w:tblGrid>
      <w:tr w:rsidR="00CA53DE" w:rsidRPr="00CA53DE" w:rsidTr="00355161">
        <w:trPr>
          <w:cantSplit/>
          <w:trHeight w:val="255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Ukupno svi poduzetnici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Mali poduzetnici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Srednji poduzetnici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Veliki poduzetnici</w:t>
            </w:r>
          </w:p>
        </w:tc>
      </w:tr>
      <w:tr w:rsidR="00CA53DE" w:rsidRPr="00CA53DE" w:rsidTr="00355161">
        <w:trPr>
          <w:trHeight w:val="255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DE" w:rsidRPr="00CA53DE" w:rsidRDefault="00CA53DE" w:rsidP="00CA53DE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index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index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index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index</w:t>
            </w:r>
          </w:p>
        </w:tc>
      </w:tr>
      <w:tr w:rsidR="00CA53DE" w:rsidRPr="00CA53DE" w:rsidTr="00355161">
        <w:trPr>
          <w:trHeight w:val="282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3.775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4.017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106,4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3.687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3.934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106,7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95,4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91,3</w:t>
            </w:r>
          </w:p>
        </w:tc>
      </w:tr>
      <w:tr w:rsidR="00CA53DE" w:rsidRPr="00CA53DE" w:rsidTr="00355161">
        <w:trPr>
          <w:trHeight w:val="255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-udjel 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91,8%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97,9%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1,6%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1,5%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0,6%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0,5%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</w:tr>
      <w:tr w:rsidR="00CA53DE" w:rsidRPr="00CA53DE" w:rsidTr="00355161">
        <w:trPr>
          <w:trHeight w:val="255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35.788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35.147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18.909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19.716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104,3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7.225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6.383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88,3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9.654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9.048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93,7</w:t>
            </w:r>
          </w:p>
        </w:tc>
      </w:tr>
      <w:tr w:rsidR="00CA53DE" w:rsidRPr="00CA53DE" w:rsidTr="00355161">
        <w:trPr>
          <w:trHeight w:val="255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-udjel 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52,8%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56,1%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20,2%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18,2%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27,0%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25,7%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</w:tr>
      <w:tr w:rsidR="00CA53DE" w:rsidRPr="00CA53DE" w:rsidTr="00355161">
        <w:trPr>
          <w:trHeight w:val="480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Ukupan prihod u mil.kn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22.326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22.655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8.073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8.209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4.713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4.689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99,5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9.540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9.758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102,3</w:t>
            </w:r>
          </w:p>
        </w:tc>
      </w:tr>
      <w:tr w:rsidR="00CA53DE" w:rsidRPr="00CA53DE" w:rsidTr="00355161">
        <w:trPr>
          <w:trHeight w:val="255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-udjel 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36,2%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36,2%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21,1%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20,7%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42,7%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43,1%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</w:tr>
      <w:tr w:rsidR="00CA53DE" w:rsidRPr="00CA53DE" w:rsidTr="00355161">
        <w:trPr>
          <w:trHeight w:val="510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Dobit razdoblja u mil. kuna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1.171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170,7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111,7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87,1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349,1</w:t>
            </w:r>
          </w:p>
        </w:tc>
      </w:tr>
      <w:tr w:rsidR="00CA53DE" w:rsidRPr="00CA53DE" w:rsidTr="00355161">
        <w:trPr>
          <w:trHeight w:val="255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Udjel 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55,3%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36,2%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18,0%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9,2%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26,7%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54,6%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</w:tr>
      <w:tr w:rsidR="00CA53DE" w:rsidRPr="00CA53DE" w:rsidTr="00355161">
        <w:trPr>
          <w:trHeight w:val="480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Gubitak razd. u mil.kn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1.912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1.170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105,3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735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52,2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38,2</w:t>
            </w:r>
          </w:p>
        </w:tc>
      </w:tr>
      <w:tr w:rsidR="00CA53DE" w:rsidRPr="00CA53DE" w:rsidTr="00355161">
        <w:trPr>
          <w:trHeight w:val="255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-udjel 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26,2%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45,1%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38,4%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32,8%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35,4%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22,1%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</w:tr>
      <w:tr w:rsidR="00CA53DE" w:rsidRPr="00CA53DE" w:rsidTr="00355161">
        <w:trPr>
          <w:trHeight w:val="480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Invest. u dugotr. imovinu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1.871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1.718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715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74,8</w:t>
            </w:r>
          </w:p>
        </w:tc>
      </w:tr>
      <w:tr w:rsidR="00CA53DE" w:rsidRPr="00CA53DE" w:rsidTr="00355161">
        <w:trPr>
          <w:trHeight w:val="255"/>
          <w:jc w:val="center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DE" w:rsidRPr="00CA53DE" w:rsidRDefault="00CA53DE" w:rsidP="00CA53DE">
            <w:pP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-udjel 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51,1%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57,2%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10,7%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11,6%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38,2%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31,1%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DE" w:rsidRPr="00CA53DE" w:rsidRDefault="00CA53DE" w:rsidP="00CA53DE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A53DE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</w:tr>
    </w:tbl>
    <w:p w:rsidR="00CA53DE" w:rsidRPr="00CA53DE" w:rsidRDefault="00CA53DE" w:rsidP="00CA53DE">
      <w:pPr>
        <w:jc w:val="both"/>
        <w:rPr>
          <w:rFonts w:ascii="Times New Roman" w:eastAsia="Times New Roman" w:hAnsi="Times New Roman"/>
          <w:i/>
          <w:iCs/>
          <w:sz w:val="20"/>
          <w:szCs w:val="20"/>
          <w:lang w:eastAsia="en-US"/>
        </w:rPr>
      </w:pPr>
      <w:r w:rsidRPr="00CA53DE">
        <w:rPr>
          <w:rFonts w:ascii="Times New Roman" w:eastAsia="Times New Roman" w:hAnsi="Times New Roman"/>
          <w:i/>
          <w:iCs/>
          <w:sz w:val="20"/>
          <w:szCs w:val="20"/>
          <w:lang w:eastAsia="en-US"/>
        </w:rPr>
        <w:t>Izvor: FINA; obrada: HGK Županijska komora Osijek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lastRenderedPageBreak/>
        <w:t>Podaci u Tablici 2. pokazuju financijske pokazatelje poslovanja poduzetnika u 2013. i 2014. god. U odnosu na prethodnu godinu u 2014.god. ukupan prihod povećale su male tvrtke za 1,7% i velike tvrtke za 2,3%, dok su srednje tvrtke bilježile pad ukupnih prihoda za 0,5%.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i/>
          <w:sz w:val="22"/>
          <w:szCs w:val="20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>Veliki poduzetnici ostvarili su pozitivan financijski rezulutat budući da im je ostvarena dobit bila veća od gubitaka, dok su srednji i mali poduzetnici ostvarili negativan financijski rezultat. Pri tome su veliki poduzetnici ostvarili najveći udio u ukupno ostvarenoj dobiti: 54,6%. Također, veliki poduzetnici su bilježili rast dobiti u 2014. god. za čak 456 milijuna kuna u odnosu na prethodnu godinu, ili 249,1%. Najmanji udio u dobiti imaju srednje tvrtke: 9,2%, dok su male ostvarile 36,2% ukupne dobiti. Najveći udio u gubitku imaju male tvrtke, čak 45%, dok je udio srednjih 32,8%, a velikih tvrtki 22,1%.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>Od ukupno zaposlenih u trgovačkim društvima više od polovice ih je zaposleno u malim tvrtkama – 56,1%. ili 19.716 osoba. Srednji poduzetnici su zapošljavali 18,2% svih zaposlenih, ili njih 6.383, dok su veliki poduzetnici zapošljavali 25,7% ili 9.048 osoba.</w:t>
      </w:r>
    </w:p>
    <w:p w:rsidR="00CA53DE" w:rsidRPr="00CA53DE" w:rsidRDefault="00CA53DE" w:rsidP="00CA53DE">
      <w:pPr>
        <w:rPr>
          <w:rFonts w:ascii="Times New Roman" w:eastAsia="Times New Roman" w:hAnsi="Times New Roman"/>
          <w:sz w:val="20"/>
          <w:lang w:eastAsia="hr-HR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>U ukupnim investicijama u dugotrajnu imovinu daleko najveći udio imaju male tvrtke - 57,2% uz povećanje od 2,9% u odnosu na 2013. U kategoriji srednjih tvrtki povećanje investicija je manje: svega 0,3%, a kod velikih poduzetnika zabilježen je pad investicija za 25,2% u odnosu na prethodnu 2013. Srednje tvrtke sudjeluju u ukupnim investicijama s 11,6%, a velike tvrtke s 31,1%.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>Iz podataka o poslovanju u 2014. može se zaključiti da se male tvrtke i dalje uspješno nose s teškim uvjetima poslovanja na tržištu koji traju već nekoliko godina. One zapošljavaju preko polovine zaposlenih u trgovačkim društvima i prekom polovine investicija u dugotrajnu imovinu ostvarile su male tvrtke, a uz to su ostvarile i rast prihoda i rast dobiti. Kod velikih tvrtki je vidljivo iznimno povećanje dobiti - 3,5 puta u odnosu na prethodnu promatranu godinu, kao i smanjenje gubitka - 61,8%.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 xml:space="preserve"> Tijekom 2014. na području Osječko-baranjske županije je ugašeno 663 tvrtke, i to 653 društva s ograničenom odgovornošću (d.o.o.), 8 jednostavnih društava s ograničenom odgovornošću (j.d.o.o.) i 2 dionička društva (d.d.), dok je istovremeno osnovano je 726 novih tvrtki i to 498 j.d.o.o. te 228 d.o.o..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>Graf. 1: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>
        <w:rPr>
          <w:rFonts w:ascii="Times New Roman" w:eastAsia="Times New Roman" w:hAnsi="Times New Roman"/>
          <w:noProof/>
          <w:szCs w:val="20"/>
          <w:lang w:eastAsia="hr-HR"/>
        </w:rPr>
        <w:drawing>
          <wp:inline distT="0" distB="0" distL="0" distR="0">
            <wp:extent cx="5380355" cy="2891155"/>
            <wp:effectExtent l="0" t="0" r="10795" b="23495"/>
            <wp:docPr id="11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i/>
          <w:sz w:val="18"/>
          <w:szCs w:val="18"/>
          <w:lang w:eastAsia="en-US"/>
        </w:rPr>
      </w:pPr>
      <w:r w:rsidRPr="00CA53DE">
        <w:rPr>
          <w:rFonts w:ascii="Times New Roman" w:eastAsia="Times New Roman" w:hAnsi="Times New Roman"/>
          <w:i/>
          <w:sz w:val="18"/>
          <w:szCs w:val="18"/>
          <w:lang w:eastAsia="en-US"/>
        </w:rPr>
        <w:t>Izvor: FINA; obrada: HGK ŽK Osijek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i/>
          <w:sz w:val="18"/>
          <w:szCs w:val="18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lastRenderedPageBreak/>
        <w:t>Iz kretanja broja zaposlenih u pojedinoj kategoriji tvrtki prema veličini vidljivo je da je broj zaposlenih u malim tvrtkama veći nego u srednjim i velikim tvrtkama zajedno. U promatranom razdoblju od 2008. do 2014.g. broj zaposlenih je u stalnom padu u sve tri kategorije tvrtki po veličini, no kod malih tvrtki je u 2012. broj zaposlenih počeo postepeno rasti, te je u 2014. nastavio trend rasta, i to za 4,3% u odnosu na 2013.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i/>
          <w:sz w:val="18"/>
          <w:szCs w:val="18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>Graf 2.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i/>
          <w:sz w:val="18"/>
          <w:szCs w:val="18"/>
          <w:lang w:eastAsia="en-US"/>
        </w:rPr>
      </w:pPr>
      <w:r>
        <w:rPr>
          <w:rFonts w:ascii="Times New Roman" w:eastAsia="Times New Roman" w:hAnsi="Times New Roman"/>
          <w:noProof/>
          <w:szCs w:val="20"/>
          <w:lang w:eastAsia="hr-HR"/>
        </w:rPr>
        <w:drawing>
          <wp:inline distT="0" distB="0" distL="0" distR="0">
            <wp:extent cx="5426710" cy="3074670"/>
            <wp:effectExtent l="0" t="0" r="21590" b="11430"/>
            <wp:docPr id="10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i/>
          <w:sz w:val="18"/>
          <w:szCs w:val="18"/>
          <w:lang w:eastAsia="en-US"/>
        </w:rPr>
      </w:pPr>
      <w:r w:rsidRPr="00CA53DE">
        <w:rPr>
          <w:rFonts w:ascii="Times New Roman" w:eastAsia="Times New Roman" w:hAnsi="Times New Roman"/>
          <w:i/>
          <w:sz w:val="18"/>
          <w:szCs w:val="18"/>
          <w:lang w:eastAsia="en-US"/>
        </w:rPr>
        <w:t>Izvor: FINA; obrada: HGK ŽK Osijek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16"/>
          <w:szCs w:val="16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 xml:space="preserve">Najveći udio u ukupnom prihodu koji ostvare trgovačka društva OBŽ imaju velike tvrtke, potom male tvrtke, a najmanji udio odnosi se na srednje tvrtke. U cijelom promatranom razdoblju od 2008. do 2014. godine ukupni prihodi padaju u sve tri kategorije tvrtki po veličini osim u 2011. kada sve tri veličine tvrtki ostvaruju rast prihoda. U promatranom razdoblju najveći prihod ostvaren je 2008.g. i iznosio je 28,2 milijarde kuna, a najmanji je bio 2010. kada je iznosio 21,7 milijardi. U posljednje tri promatrane godine, 2012., 2013. i 2014. ukupni prihod gospodarstva županije zadržava se na razini nešto višoj od 22 milijarde kuna. 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16"/>
          <w:szCs w:val="16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>Graf. 3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>
        <w:rPr>
          <w:rFonts w:ascii="Times New Roman" w:eastAsia="Times New Roman" w:hAnsi="Times New Roman"/>
          <w:noProof/>
          <w:szCs w:val="20"/>
          <w:lang w:eastAsia="hr-HR"/>
        </w:rPr>
        <w:drawing>
          <wp:inline distT="0" distB="0" distL="0" distR="0">
            <wp:extent cx="5008245" cy="2842895"/>
            <wp:effectExtent l="0" t="0" r="20955" b="14605"/>
            <wp:docPr id="9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i/>
          <w:sz w:val="18"/>
          <w:szCs w:val="18"/>
          <w:lang w:eastAsia="en-US"/>
        </w:rPr>
      </w:pPr>
      <w:r w:rsidRPr="00CA53DE">
        <w:rPr>
          <w:rFonts w:ascii="Times New Roman" w:eastAsia="Times New Roman" w:hAnsi="Times New Roman"/>
          <w:i/>
          <w:sz w:val="18"/>
          <w:szCs w:val="18"/>
          <w:lang w:eastAsia="en-US"/>
        </w:rPr>
        <w:t>Izvor: FINA; obrada: HGK ŽK Osijek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>2014. je prva godina nakon 2008. u kojoj je gospodarstvo županije ostvarilo pozitivan konsolidirani financijski rezultat (ukupna dobit veća od ukupnog gubitka). 2008. pozitivno su poslovale male i velike tvrtke dok su srednje već i te godine poslovale negativno. Od 2009. pa do 2013.godine sve tri kategorije tvrtki po veličini ostvaruje negativne konsolidirane financijske rezultate, s tim da se udio malih tvrtki u negativnom financijskom rezultatu kreće od 6% (2010.), pa do 35% (2011.).  Konsolidirani financijski rezultat za 2014. iznosi 2 milijuna kuna. Iz podataka prema kategorijama malih, srednjih i velikih tvrti, vidljivo je kako male i srednje tvrtke bilježe negativne konsolidirane račune, dok velike tvrtke bilježe najbolje rezultate u čitavom promatranom razdoblju. Iznos konsolidiranog računa velikih tvrtki u 2014. iznosio je 381 milijun kuna, što je bolji rezultat od onog iz predkriznih godina, 2006. i 2007.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>Graf. 4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>
        <w:rPr>
          <w:rFonts w:ascii="Times New Roman" w:eastAsia="Times New Roman" w:hAnsi="Times New Roman"/>
          <w:noProof/>
          <w:szCs w:val="20"/>
          <w:lang w:eastAsia="hr-HR"/>
        </w:rPr>
        <w:drawing>
          <wp:inline distT="0" distB="0" distL="0" distR="0">
            <wp:extent cx="4930140" cy="2743200"/>
            <wp:effectExtent l="0" t="0" r="22860" b="19050"/>
            <wp:docPr id="8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i/>
          <w:sz w:val="18"/>
          <w:szCs w:val="18"/>
          <w:lang w:eastAsia="en-US"/>
        </w:rPr>
      </w:pPr>
      <w:r w:rsidRPr="00CA53DE">
        <w:rPr>
          <w:rFonts w:ascii="Times New Roman" w:eastAsia="Times New Roman" w:hAnsi="Times New Roman"/>
          <w:i/>
          <w:sz w:val="18"/>
          <w:szCs w:val="18"/>
          <w:lang w:eastAsia="en-US"/>
        </w:rPr>
        <w:t>Izvor: FINA; obrada: HGK ŽK Osijek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</w:p>
    <w:p w:rsidR="003E5A98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>Iz grafikona 4. vidi se da male tvrtke od 2010. godine ostvaruju više investicija u dugotrajnu imovinu nego velike, odnosno srednje tvrtke. U 2014. investicije kod malih tvrtki dosežu gotovo milijardu kuna, dok velike tvrtke bilježe pad investicija u odnosu na prethodnu 2013. za 25,2%</w:t>
      </w:r>
      <w:r>
        <w:rPr>
          <w:rFonts w:ascii="Times New Roman" w:eastAsia="Times New Roman" w:hAnsi="Times New Roman"/>
          <w:sz w:val="22"/>
          <w:szCs w:val="20"/>
          <w:lang w:eastAsia="en-US"/>
        </w:rPr>
        <w:t>.</w:t>
      </w:r>
    </w:p>
    <w:p w:rsidR="003E5A98" w:rsidRDefault="003E5A98" w:rsidP="003E5A98">
      <w:pPr>
        <w:ind w:firstLine="720"/>
        <w:rPr>
          <w:rFonts w:ascii="Times New Roman" w:eastAsia="Times New Roman" w:hAnsi="Times New Roman"/>
          <w:sz w:val="22"/>
          <w:szCs w:val="20"/>
          <w:lang w:eastAsia="en-US"/>
        </w:rPr>
      </w:pPr>
    </w:p>
    <w:p w:rsidR="00CA53DE" w:rsidRPr="00CA53DE" w:rsidRDefault="003E5A98" w:rsidP="003E5A98">
      <w:pPr>
        <w:ind w:firstLine="720"/>
        <w:rPr>
          <w:rFonts w:ascii="Times New Roman" w:eastAsia="Times New Roman" w:hAnsi="Times New Roman"/>
          <w:sz w:val="22"/>
          <w:szCs w:val="20"/>
          <w:lang w:eastAsia="en-US"/>
        </w:rPr>
      </w:pPr>
      <w:r>
        <w:rPr>
          <w:rFonts w:ascii="Times New Roman" w:eastAsia="Times New Roman" w:hAnsi="Times New Roman"/>
          <w:noProof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70D45254" wp14:editId="1C676750">
            <wp:simplePos x="0" y="0"/>
            <wp:positionH relativeFrom="column">
              <wp:posOffset>176530</wp:posOffset>
            </wp:positionH>
            <wp:positionV relativeFrom="paragraph">
              <wp:posOffset>210185</wp:posOffset>
            </wp:positionV>
            <wp:extent cx="2666365" cy="2015490"/>
            <wp:effectExtent l="0" t="0" r="19685" b="22860"/>
            <wp:wrapSquare wrapText="bothSides"/>
            <wp:docPr id="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3DE" w:rsidRPr="00CA53DE">
        <w:rPr>
          <w:rFonts w:ascii="Times New Roman" w:eastAsia="Times New Roman" w:hAnsi="Times New Roman"/>
          <w:sz w:val="22"/>
          <w:szCs w:val="20"/>
          <w:lang w:eastAsia="en-US"/>
        </w:rPr>
        <w:t>Graf 5.</w:t>
      </w:r>
      <w:r w:rsidR="00CA53DE" w:rsidRPr="00CA53DE">
        <w:rPr>
          <w:rFonts w:ascii="Times New Roman" w:eastAsia="Times New Roman" w:hAnsi="Times New Roman"/>
          <w:noProof/>
          <w:szCs w:val="20"/>
          <w:lang w:eastAsia="hr-HR"/>
        </w:rPr>
        <w:t xml:space="preserve"> </w:t>
      </w:r>
    </w:p>
    <w:p w:rsidR="003E5A98" w:rsidRDefault="003E5A98" w:rsidP="00CA53DE">
      <w:pPr>
        <w:jc w:val="both"/>
        <w:rPr>
          <w:rFonts w:ascii="Times New Roman" w:eastAsia="Times New Roman" w:hAnsi="Times New Roman"/>
          <w:noProof/>
          <w:szCs w:val="20"/>
          <w:lang w:eastAsia="hr-HR"/>
        </w:rPr>
      </w:pPr>
      <w:r>
        <w:rPr>
          <w:rFonts w:ascii="Times New Roman" w:eastAsia="Times New Roman" w:hAnsi="Times New Roman"/>
          <w:noProof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1BE9EA13" wp14:editId="77C58D8D">
            <wp:simplePos x="0" y="0"/>
            <wp:positionH relativeFrom="column">
              <wp:posOffset>-40640</wp:posOffset>
            </wp:positionH>
            <wp:positionV relativeFrom="paragraph">
              <wp:posOffset>62230</wp:posOffset>
            </wp:positionV>
            <wp:extent cx="2626995" cy="2009775"/>
            <wp:effectExtent l="0" t="0" r="20955" b="9525"/>
            <wp:wrapSquare wrapText="bothSides"/>
            <wp:docPr id="6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3DE" w:rsidRPr="00CA53DE" w:rsidRDefault="00CA53DE" w:rsidP="00CA53DE">
      <w:pPr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noProof/>
          <w:szCs w:val="20"/>
          <w:lang w:eastAsia="hr-HR"/>
        </w:rPr>
        <w:t xml:space="preserve"> </w:t>
      </w:r>
      <w:r w:rsidRPr="00CA53DE">
        <w:rPr>
          <w:rFonts w:ascii="Times New Roman" w:eastAsia="Times New Roman" w:hAnsi="Times New Roman"/>
          <w:i/>
          <w:sz w:val="18"/>
          <w:szCs w:val="18"/>
          <w:lang w:eastAsia="en-US"/>
        </w:rPr>
        <w:t>Izvor: FINA; obrada: HGK ŽK Osijek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lastRenderedPageBreak/>
        <w:t xml:space="preserve">Prema podacima o prihodima od prodaje u inozemstvu male tvrtke OBŽ u ukupnom izvozu županije sudjeluju s 15%, srednje s 21%, a velike sa 64 %. Što se uvoza tiče, velike tvrtke sudjeluju s visokih 61%, dok srednje tvrtke sudjeluju s 10%, a male s 29%, što ukazuje na negativnu vanjskotrgovinsku bilancu malih tvrtki. 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>Graf 6.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Cs w:val="20"/>
          <w:lang w:eastAsia="en-US"/>
        </w:rPr>
      </w:pPr>
      <w:r>
        <w:rPr>
          <w:rFonts w:ascii="Times New Roman" w:eastAsia="Times New Roman" w:hAnsi="Times New Roman"/>
          <w:noProof/>
          <w:szCs w:val="20"/>
          <w:lang w:eastAsia="hr-HR"/>
        </w:rPr>
        <w:drawing>
          <wp:inline distT="0" distB="0" distL="0" distR="0">
            <wp:extent cx="4581525" cy="2752725"/>
            <wp:effectExtent l="0" t="0" r="0" b="0"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Cs w:val="20"/>
          <w:lang w:eastAsia="en-US"/>
        </w:rPr>
      </w:pPr>
      <w:r>
        <w:rPr>
          <w:rFonts w:ascii="Times New Roman" w:eastAsia="Times New Roman" w:hAnsi="Times New Roman"/>
          <w:noProof/>
          <w:szCs w:val="20"/>
          <w:lang w:eastAsia="hr-HR"/>
        </w:rPr>
        <w:drawing>
          <wp:inline distT="0" distB="0" distL="0" distR="0">
            <wp:extent cx="4581525" cy="2752725"/>
            <wp:effectExtent l="0" t="0" r="0" b="0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A53DE" w:rsidRDefault="00CA53DE" w:rsidP="00CA53DE">
      <w:pPr>
        <w:ind w:firstLine="720"/>
        <w:jc w:val="both"/>
        <w:rPr>
          <w:rFonts w:ascii="Times New Roman" w:eastAsia="Times New Roman" w:hAnsi="Times New Roman"/>
          <w:szCs w:val="20"/>
          <w:lang w:eastAsia="en-US"/>
        </w:rPr>
      </w:pPr>
    </w:p>
    <w:p w:rsidR="003E5A98" w:rsidRPr="00CA53DE" w:rsidRDefault="003E5A98" w:rsidP="003E5A98">
      <w:pPr>
        <w:ind w:firstLine="709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i/>
          <w:sz w:val="18"/>
          <w:szCs w:val="18"/>
          <w:lang w:eastAsia="en-US"/>
        </w:rPr>
        <w:t>Izvor: FINA; obrada: HGK ŽK Osijek</w:t>
      </w:r>
    </w:p>
    <w:p w:rsidR="003E5A98" w:rsidRPr="00CA53DE" w:rsidRDefault="003E5A98" w:rsidP="00CA53DE">
      <w:pPr>
        <w:ind w:firstLine="720"/>
        <w:jc w:val="both"/>
        <w:rPr>
          <w:rFonts w:ascii="Times New Roman" w:eastAsia="Times New Roman" w:hAnsi="Times New Roman"/>
          <w:szCs w:val="20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2"/>
          <w:lang w:eastAsia="en-US"/>
        </w:rPr>
        <w:t>Iz podataka o kretanju izvoza i uvoza vidljivo je da su jedino velike tvrtke ostvarile rast izvoza u promatranom razdoblju od 2008. do 2014. godine dok male i srednje tvrtke pokazuju stagnaciju. Ostvareni izvoz velikih tvrtki duplo je veći od ukupnog izvoza malih i srednjih tvrtki zajedno.</w:t>
      </w:r>
      <w:r w:rsidR="00EA7E56">
        <w:rPr>
          <w:rFonts w:ascii="Times New Roman" w:eastAsia="Times New Roman" w:hAnsi="Times New Roman"/>
          <w:sz w:val="22"/>
          <w:szCs w:val="22"/>
          <w:lang w:eastAsia="en-US"/>
        </w:rPr>
        <w:t xml:space="preserve"> Velike i srednje tvrtke u promatranom razdoblju uglavnom ostvaruju pozitivan saldo vanjskotrgovinske razmjene što nije slučaj kod malih tvrtki.</w:t>
      </w:r>
      <w:bookmarkStart w:id="0" w:name="_GoBack"/>
      <w:bookmarkEnd w:id="0"/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>Povećanje izvoza malih tvrtki moglo b</w:t>
      </w:r>
      <w:r w:rsidR="008A7C42">
        <w:rPr>
          <w:rFonts w:ascii="Times New Roman" w:eastAsia="Times New Roman" w:hAnsi="Times New Roman"/>
          <w:sz w:val="22"/>
          <w:szCs w:val="20"/>
          <w:lang w:eastAsia="en-US"/>
        </w:rPr>
        <w:t xml:space="preserve">i se riješiti udruživanjem u </w:t>
      </w:r>
      <w:r w:rsidRPr="00CA53DE">
        <w:rPr>
          <w:rFonts w:ascii="Times New Roman" w:eastAsia="Times New Roman" w:hAnsi="Times New Roman"/>
          <w:sz w:val="22"/>
          <w:szCs w:val="20"/>
          <w:lang w:eastAsia="en-US"/>
        </w:rPr>
        <w:t>klastere ili slične oblike povezivanja kako bi se olakšao nastup na stranim tržištima, pogotovo što se tiče količine izvoza koja je često ograničavajući faktor izlasku malih tvrtki sa svojim proizvodima u inozemstvo.</w:t>
      </w:r>
    </w:p>
    <w:p w:rsidR="00CA53DE" w:rsidRPr="00CA53DE" w:rsidRDefault="00CA53DE" w:rsidP="00CA53DE">
      <w:pPr>
        <w:ind w:firstLine="720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</w:p>
    <w:p w:rsidR="00236359" w:rsidRDefault="00236359"/>
    <w:sectPr w:rsidR="00236359" w:rsidSect="008A7C42">
      <w:headerReference w:type="default" r:id="rId17"/>
      <w:footerReference w:type="default" r:id="rId18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86" w:rsidRDefault="000D1386" w:rsidP="006D32B8">
      <w:r>
        <w:separator/>
      </w:r>
    </w:p>
  </w:endnote>
  <w:endnote w:type="continuationSeparator" w:id="0">
    <w:p w:rsidR="000D1386" w:rsidRDefault="000D1386" w:rsidP="006D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44457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  <w:szCs w:val="22"/>
      </w:rPr>
    </w:sdtEndPr>
    <w:sdtContent>
      <w:p w:rsidR="008A7C42" w:rsidRPr="008A7C42" w:rsidRDefault="008A7C42" w:rsidP="00EA7E56">
        <w:pPr>
          <w:pStyle w:val="Footer"/>
          <w:pBdr>
            <w:top w:val="dotted" w:sz="4" w:space="1" w:color="auto"/>
          </w:pBdr>
          <w:jc w:val="right"/>
          <w:rPr>
            <w:rFonts w:ascii="Times New Roman" w:hAnsi="Times New Roman"/>
            <w:sz w:val="22"/>
            <w:szCs w:val="22"/>
          </w:rPr>
        </w:pPr>
        <w:r w:rsidRPr="008A7C42">
          <w:rPr>
            <w:rFonts w:ascii="Times New Roman" w:hAnsi="Times New Roman"/>
            <w:sz w:val="22"/>
            <w:szCs w:val="22"/>
          </w:rPr>
          <w:fldChar w:fldCharType="begin"/>
        </w:r>
        <w:r w:rsidRPr="008A7C42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8A7C42">
          <w:rPr>
            <w:rFonts w:ascii="Times New Roman" w:hAnsi="Times New Roman"/>
            <w:sz w:val="22"/>
            <w:szCs w:val="22"/>
          </w:rPr>
          <w:fldChar w:fldCharType="separate"/>
        </w:r>
        <w:r w:rsidR="00EA7E56">
          <w:rPr>
            <w:rFonts w:ascii="Times New Roman" w:hAnsi="Times New Roman"/>
            <w:noProof/>
            <w:sz w:val="22"/>
            <w:szCs w:val="22"/>
          </w:rPr>
          <w:t>5</w:t>
        </w:r>
        <w:r w:rsidRPr="008A7C42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:rsidR="008A7C42" w:rsidRDefault="008A7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86" w:rsidRDefault="000D1386" w:rsidP="006D32B8">
      <w:r>
        <w:separator/>
      </w:r>
    </w:p>
  </w:footnote>
  <w:footnote w:type="continuationSeparator" w:id="0">
    <w:p w:rsidR="000D1386" w:rsidRDefault="000D1386" w:rsidP="006D3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B8" w:rsidRPr="008A7C42" w:rsidRDefault="006D32B8" w:rsidP="00EA7E56">
    <w:pPr>
      <w:pStyle w:val="Header"/>
      <w:pBdr>
        <w:bottom w:val="dotted" w:sz="4" w:space="1" w:color="auto"/>
      </w:pBdr>
      <w:rPr>
        <w:rFonts w:ascii="Times New Roman" w:hAnsi="Times New Roman"/>
        <w:sz w:val="20"/>
        <w:szCs w:val="20"/>
      </w:rPr>
    </w:pPr>
    <w:r w:rsidRPr="008A7C42">
      <w:rPr>
        <w:rFonts w:ascii="Times New Roman" w:hAnsi="Times New Roman"/>
        <w:sz w:val="20"/>
        <w:szCs w:val="20"/>
      </w:rPr>
      <w:t>Pokazatelji poslovanja malog gospodarstva Osječko-baranjske županije u 2014.g.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59"/>
    <w:rsid w:val="000D1386"/>
    <w:rsid w:val="00236359"/>
    <w:rsid w:val="003E5A98"/>
    <w:rsid w:val="006D32B8"/>
    <w:rsid w:val="008A7C42"/>
    <w:rsid w:val="00CA53DE"/>
    <w:rsid w:val="00D62C7B"/>
    <w:rsid w:val="00EA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59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59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D32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2B8"/>
    <w:rPr>
      <w:rFonts w:ascii="Arial" w:eastAsia="MS Mincho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D32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2B8"/>
    <w:rPr>
      <w:rFonts w:ascii="Arial" w:eastAsia="MS Mincho" w:hAnsi="Arial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59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59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D32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2B8"/>
    <w:rPr>
      <w:rFonts w:ascii="Arial" w:eastAsia="MS Mincho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D32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2B8"/>
    <w:rPr>
      <w:rFonts w:ascii="Arial" w:eastAsia="MS Mincho" w:hAnsi="Arial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drakitic\Desktop\Grafikoni%20malo%20gospodarstvo%2007.06.2016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drakitic\Desktop\Grafikoni%20malo%20gospodarstvo%2007.06.2016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drakitic\Desktop\Grafikoni%20malo%20gospodarstvo%2007.06.2016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C:\Users\drakitic\Desktop\Grafikoni%20malo%20gospodarstvo%2007.06.2016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C:\Users\drakitic\Desktop\Grafikoni%20malo%20gospodarstvo%2007.06.2016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C:\Users\drakitic\Desktop\Grafikoni%20malo%20gospodarstvo%2007.06.2016.xls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802096104768908E-2"/>
          <c:y val="0.1449545386793859"/>
          <c:w val="0.86905847841684147"/>
          <c:h val="0.71177256784563248"/>
        </c:manualLayout>
      </c:layout>
      <c:lineChart>
        <c:grouping val="standard"/>
        <c:varyColors val="0"/>
        <c:ser>
          <c:idx val="0"/>
          <c:order val="0"/>
          <c:tx>
            <c:strRef>
              <c:f>'broj zaposlenih'!$D$3</c:f>
              <c:strCache>
                <c:ptCount val="1"/>
                <c:pt idx="0">
                  <c:v>mali</c:v>
                </c:pt>
              </c:strCache>
            </c:strRef>
          </c:tx>
          <c:spPr>
            <a:ln cmpd="sng">
              <a:prstDash val="solid"/>
            </a:ln>
          </c:spPr>
          <c:marker>
            <c:symbol val="none"/>
          </c:marker>
          <c:cat>
            <c:numRef>
              <c:f>'broj zaposlenih'!$C$17:$C$23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'broj zaposlenih'!$D$17:$D$23</c:f>
              <c:numCache>
                <c:formatCode>General</c:formatCode>
                <c:ptCount val="7"/>
                <c:pt idx="0">
                  <c:v>22525</c:v>
                </c:pt>
                <c:pt idx="1">
                  <c:v>20809</c:v>
                </c:pt>
                <c:pt idx="2">
                  <c:v>19234</c:v>
                </c:pt>
                <c:pt idx="3">
                  <c:v>19689</c:v>
                </c:pt>
                <c:pt idx="4">
                  <c:v>18208</c:v>
                </c:pt>
                <c:pt idx="5">
                  <c:v>18909</c:v>
                </c:pt>
                <c:pt idx="6">
                  <c:v>19716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AA7-405C-AC12-696681A88D98}"/>
            </c:ext>
          </c:extLst>
        </c:ser>
        <c:ser>
          <c:idx val="1"/>
          <c:order val="1"/>
          <c:tx>
            <c:strRef>
              <c:f>'broj zaposlenih'!$E$3</c:f>
              <c:strCache>
                <c:ptCount val="1"/>
                <c:pt idx="0">
                  <c:v>srednji</c:v>
                </c:pt>
              </c:strCache>
            </c:strRef>
          </c:tx>
          <c:marker>
            <c:symbol val="none"/>
          </c:marker>
          <c:cat>
            <c:numRef>
              <c:f>'broj zaposlenih'!$C$17:$C$23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'broj zaposlenih'!$E$17:$E$23</c:f>
              <c:numCache>
                <c:formatCode>General</c:formatCode>
                <c:ptCount val="7"/>
                <c:pt idx="0">
                  <c:v>9976</c:v>
                </c:pt>
                <c:pt idx="1">
                  <c:v>10584</c:v>
                </c:pt>
                <c:pt idx="2">
                  <c:v>8828</c:v>
                </c:pt>
                <c:pt idx="3">
                  <c:v>8999</c:v>
                </c:pt>
                <c:pt idx="4">
                  <c:v>7798</c:v>
                </c:pt>
                <c:pt idx="5">
                  <c:v>7225</c:v>
                </c:pt>
                <c:pt idx="6">
                  <c:v>6383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AA7-405C-AC12-696681A88D98}"/>
            </c:ext>
          </c:extLst>
        </c:ser>
        <c:ser>
          <c:idx val="2"/>
          <c:order val="2"/>
          <c:tx>
            <c:strRef>
              <c:f>'broj zaposlenih'!$F$3</c:f>
              <c:strCache>
                <c:ptCount val="1"/>
                <c:pt idx="0">
                  <c:v>veliki</c:v>
                </c:pt>
              </c:strCache>
            </c:strRef>
          </c:tx>
          <c:spPr>
            <a:ln cmpd="sng">
              <a:prstDash val="solid"/>
            </a:ln>
          </c:spPr>
          <c:marker>
            <c:symbol val="none"/>
          </c:marker>
          <c:cat>
            <c:numRef>
              <c:f>'broj zaposlenih'!$C$17:$C$23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'broj zaposlenih'!$F$17:$F$23</c:f>
              <c:numCache>
                <c:formatCode>General</c:formatCode>
                <c:ptCount val="7"/>
                <c:pt idx="0">
                  <c:v>13695</c:v>
                </c:pt>
                <c:pt idx="1">
                  <c:v>12732</c:v>
                </c:pt>
                <c:pt idx="2">
                  <c:v>11726</c:v>
                </c:pt>
                <c:pt idx="3">
                  <c:v>10818</c:v>
                </c:pt>
                <c:pt idx="4">
                  <c:v>10316</c:v>
                </c:pt>
                <c:pt idx="5">
                  <c:v>9654</c:v>
                </c:pt>
                <c:pt idx="6">
                  <c:v>9048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AA7-405C-AC12-696681A88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979392"/>
        <c:axId val="135980928"/>
      </c:lineChart>
      <c:catAx>
        <c:axId val="13597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980928"/>
        <c:crosses val="autoZero"/>
        <c:auto val="1"/>
        <c:lblAlgn val="ctr"/>
        <c:lblOffset val="100"/>
        <c:noMultiLvlLbl val="0"/>
      </c:catAx>
      <c:valAx>
        <c:axId val="135980928"/>
        <c:scaling>
          <c:orientation val="minMax"/>
          <c:min val="6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979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485550368150885"/>
          <c:y val="0.36186475220009262"/>
          <c:w val="0.45158404756927512"/>
          <c:h val="0.14467006330091092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59167907016237"/>
          <c:y val="0.17129721112580745"/>
          <c:w val="0.84660804899387565"/>
          <c:h val="0.70841389107995834"/>
        </c:manualLayout>
      </c:layout>
      <c:lineChart>
        <c:grouping val="standard"/>
        <c:varyColors val="0"/>
        <c:ser>
          <c:idx val="0"/>
          <c:order val="0"/>
          <c:tx>
            <c:strRef>
              <c:f>'ukupni prihod'!$B$3</c:f>
              <c:strCache>
                <c:ptCount val="1"/>
                <c:pt idx="0">
                  <c:v>mali</c:v>
                </c:pt>
              </c:strCache>
            </c:strRef>
          </c:tx>
          <c:marker>
            <c:symbol val="none"/>
          </c:marker>
          <c:cat>
            <c:numRef>
              <c:f>'ukupni prihod'!$A$17:$A$23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'ukupni prihod'!$B$17:$B$23</c:f>
              <c:numCache>
                <c:formatCode>#,##0</c:formatCode>
                <c:ptCount val="7"/>
                <c:pt idx="0">
                  <c:v>10529</c:v>
                </c:pt>
                <c:pt idx="1">
                  <c:v>8366</c:v>
                </c:pt>
                <c:pt idx="2">
                  <c:v>8170</c:v>
                </c:pt>
                <c:pt idx="3">
                  <c:v>9057.5864340000007</c:v>
                </c:pt>
                <c:pt idx="4">
                  <c:v>8730.1250779999991</c:v>
                </c:pt>
                <c:pt idx="5">
                  <c:v>8072.8565989999997</c:v>
                </c:pt>
                <c:pt idx="6">
                  <c:v>8208.6587739999995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24B-4900-A0DC-18453617C59D}"/>
            </c:ext>
          </c:extLst>
        </c:ser>
        <c:ser>
          <c:idx val="1"/>
          <c:order val="1"/>
          <c:tx>
            <c:strRef>
              <c:f>'ukupni prihod'!$C$3</c:f>
              <c:strCache>
                <c:ptCount val="1"/>
                <c:pt idx="0">
                  <c:v>srednji</c:v>
                </c:pt>
              </c:strCache>
            </c:strRef>
          </c:tx>
          <c:marker>
            <c:symbol val="none"/>
          </c:marker>
          <c:cat>
            <c:numRef>
              <c:f>'ukupni prihod'!$A$17:$A$23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'ukupni prihod'!$C$17:$C$23</c:f>
              <c:numCache>
                <c:formatCode>#,##0</c:formatCode>
                <c:ptCount val="7"/>
                <c:pt idx="0">
                  <c:v>5963</c:v>
                </c:pt>
                <c:pt idx="1">
                  <c:v>5095.1685900000002</c:v>
                </c:pt>
                <c:pt idx="2">
                  <c:v>4055</c:v>
                </c:pt>
                <c:pt idx="3">
                  <c:v>4714.516799</c:v>
                </c:pt>
                <c:pt idx="4">
                  <c:v>4293.1640189999998</c:v>
                </c:pt>
                <c:pt idx="5">
                  <c:v>4712.5340180000003</c:v>
                </c:pt>
                <c:pt idx="6">
                  <c:v>4688.5171309999996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24B-4900-A0DC-18453617C59D}"/>
            </c:ext>
          </c:extLst>
        </c:ser>
        <c:ser>
          <c:idx val="2"/>
          <c:order val="2"/>
          <c:tx>
            <c:strRef>
              <c:f>'ukupni prihod'!$D$3</c:f>
              <c:strCache>
                <c:ptCount val="1"/>
                <c:pt idx="0">
                  <c:v>veliki</c:v>
                </c:pt>
              </c:strCache>
            </c:strRef>
          </c:tx>
          <c:marker>
            <c:symbol val="none"/>
          </c:marker>
          <c:cat>
            <c:numRef>
              <c:f>'ukupni prihod'!$A$17:$A$23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'ukupni prihod'!$D$17:$D$23</c:f>
              <c:numCache>
                <c:formatCode>#,##0</c:formatCode>
                <c:ptCount val="7"/>
                <c:pt idx="0">
                  <c:v>11720</c:v>
                </c:pt>
                <c:pt idx="1">
                  <c:v>10090.609526</c:v>
                </c:pt>
                <c:pt idx="2">
                  <c:v>9512</c:v>
                </c:pt>
                <c:pt idx="3">
                  <c:v>10317.500658000001</c:v>
                </c:pt>
                <c:pt idx="4">
                  <c:v>9580.5382669999999</c:v>
                </c:pt>
                <c:pt idx="5">
                  <c:v>9540.2085619999998</c:v>
                </c:pt>
                <c:pt idx="6">
                  <c:v>9757.7265769999995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24B-4900-A0DC-18453617C5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061696"/>
        <c:axId val="136063232"/>
      </c:lineChart>
      <c:catAx>
        <c:axId val="13606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063232"/>
        <c:crosses val="autoZero"/>
        <c:auto val="1"/>
        <c:lblAlgn val="ctr"/>
        <c:lblOffset val="100"/>
        <c:noMultiLvlLbl val="0"/>
      </c:catAx>
      <c:valAx>
        <c:axId val="1360632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6061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5074292029285811"/>
          <c:y val="0.7176841130152849"/>
          <c:w val="0.49325063314454115"/>
          <c:h val="8.9437442610695306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66913903653726"/>
          <c:y val="0.18751156105486813"/>
          <c:w val="0.86885804899387575"/>
          <c:h val="0.752622255551389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'konsolidiran rn'!$B$5</c:f>
              <c:strCache>
                <c:ptCount val="1"/>
                <c:pt idx="0">
                  <c:v>mali</c:v>
                </c:pt>
              </c:strCache>
            </c:strRef>
          </c:tx>
          <c:invertIfNegative val="0"/>
          <c:cat>
            <c:numRef>
              <c:f>'konsolidiran rn'!$A$11:$A$17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'konsolidiran rn'!$B$11:$B$17</c:f>
              <c:numCache>
                <c:formatCode>#,##0</c:formatCode>
                <c:ptCount val="7"/>
                <c:pt idx="0">
                  <c:v>153.45555200000001</c:v>
                </c:pt>
                <c:pt idx="1">
                  <c:v>-106.73867200000001</c:v>
                </c:pt>
                <c:pt idx="2">
                  <c:v>-68</c:v>
                </c:pt>
                <c:pt idx="3">
                  <c:v>-187.66592999999995</c:v>
                </c:pt>
                <c:pt idx="4">
                  <c:v>-367</c:v>
                </c:pt>
                <c:pt idx="5">
                  <c:v>-121</c:v>
                </c:pt>
                <c:pt idx="6" formatCode="General">
                  <c:v>-103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9C-4A72-9DE3-5F2B40CEF841}"/>
            </c:ext>
          </c:extLst>
        </c:ser>
        <c:ser>
          <c:idx val="1"/>
          <c:order val="1"/>
          <c:tx>
            <c:strRef>
              <c:f>'konsolidiran rn'!$C$5</c:f>
              <c:strCache>
                <c:ptCount val="1"/>
                <c:pt idx="0">
                  <c:v>srednji</c:v>
                </c:pt>
              </c:strCache>
            </c:strRef>
          </c:tx>
          <c:invertIfNegative val="0"/>
          <c:cat>
            <c:numRef>
              <c:f>'konsolidiran rn'!$A$11:$A$17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'konsolidiran rn'!$C$11:$C$17</c:f>
              <c:numCache>
                <c:formatCode>#,##0</c:formatCode>
                <c:ptCount val="7"/>
                <c:pt idx="0">
                  <c:v>-28.331247000000019</c:v>
                </c:pt>
                <c:pt idx="1">
                  <c:v>-135.825174</c:v>
                </c:pt>
                <c:pt idx="2">
                  <c:v>-205</c:v>
                </c:pt>
                <c:pt idx="3">
                  <c:v>-244.01310800000005</c:v>
                </c:pt>
                <c:pt idx="4">
                  <c:v>-302</c:v>
                </c:pt>
                <c:pt idx="5">
                  <c:v>-611</c:v>
                </c:pt>
                <c:pt idx="6" formatCode="General">
                  <c:v>-276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9C-4A72-9DE3-5F2B40CEF841}"/>
            </c:ext>
          </c:extLst>
        </c:ser>
        <c:ser>
          <c:idx val="2"/>
          <c:order val="2"/>
          <c:tx>
            <c:strRef>
              <c:f>'konsolidiran rn'!$D$5</c:f>
              <c:strCache>
                <c:ptCount val="1"/>
                <c:pt idx="0">
                  <c:v>veliki</c:v>
                </c:pt>
              </c:strCache>
            </c:strRef>
          </c:tx>
          <c:invertIfNegative val="0"/>
          <c:cat>
            <c:numRef>
              <c:f>'konsolidiran rn'!$A$11:$A$17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'konsolidiran rn'!$D$11:$D$17</c:f>
              <c:numCache>
                <c:formatCode>#,##0</c:formatCode>
                <c:ptCount val="7"/>
                <c:pt idx="0">
                  <c:v>151.33943099999999</c:v>
                </c:pt>
                <c:pt idx="1">
                  <c:v>-142.78945900000002</c:v>
                </c:pt>
                <c:pt idx="2">
                  <c:v>-800</c:v>
                </c:pt>
                <c:pt idx="3">
                  <c:v>-99.347356999999988</c:v>
                </c:pt>
                <c:pt idx="4">
                  <c:v>-668</c:v>
                </c:pt>
                <c:pt idx="5">
                  <c:v>-494</c:v>
                </c:pt>
                <c:pt idx="6" formatCode="General">
                  <c:v>381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9C-4A72-9DE3-5F2B40CEF8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6114944"/>
        <c:axId val="136116480"/>
      </c:barChart>
      <c:catAx>
        <c:axId val="13611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sr-Latn-RS"/>
          </a:p>
        </c:txPr>
        <c:crossAx val="136116480"/>
        <c:crosses val="autoZero"/>
        <c:auto val="1"/>
        <c:lblAlgn val="ctr"/>
        <c:lblOffset val="100"/>
        <c:noMultiLvlLbl val="0"/>
      </c:catAx>
      <c:valAx>
        <c:axId val="136116480"/>
        <c:scaling>
          <c:orientation val="minMax"/>
          <c:min val="-14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6114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750382664689764"/>
          <c:y val="0.71886847477398663"/>
          <c:w val="0.11490573733127962"/>
          <c:h val="0.22962429696287967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716907261592301"/>
          <c:y val="0.19491907261592301"/>
          <c:w val="0.87735804899387582"/>
          <c:h val="0.68910104986876641"/>
        </c:manualLayout>
      </c:layout>
      <c:lineChart>
        <c:grouping val="standard"/>
        <c:varyColors val="0"/>
        <c:ser>
          <c:idx val="0"/>
          <c:order val="0"/>
          <c:tx>
            <c:strRef>
              <c:f>investicije!$B$3</c:f>
              <c:strCache>
                <c:ptCount val="1"/>
                <c:pt idx="0">
                  <c:v>mali</c:v>
                </c:pt>
              </c:strCache>
            </c:strRef>
          </c:tx>
          <c:marker>
            <c:symbol val="none"/>
          </c:marker>
          <c:cat>
            <c:numRef>
              <c:f>investicije!$A$11:$A$17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investicije!$B$11:$B$17</c:f>
              <c:numCache>
                <c:formatCode>#,##0</c:formatCode>
                <c:ptCount val="7"/>
                <c:pt idx="0">
                  <c:v>935.247657</c:v>
                </c:pt>
                <c:pt idx="1">
                  <c:v>483</c:v>
                </c:pt>
                <c:pt idx="2">
                  <c:v>815</c:v>
                </c:pt>
                <c:pt idx="3">
                  <c:v>868.65782200000001</c:v>
                </c:pt>
                <c:pt idx="4">
                  <c:v>875.09866399999999</c:v>
                </c:pt>
                <c:pt idx="5">
                  <c:v>956.17423099999996</c:v>
                </c:pt>
                <c:pt idx="6">
                  <c:v>983.71367199999997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CD-40B1-A1CD-F674B1E7A9C0}"/>
            </c:ext>
          </c:extLst>
        </c:ser>
        <c:ser>
          <c:idx val="1"/>
          <c:order val="1"/>
          <c:tx>
            <c:strRef>
              <c:f>investicije!$C$3</c:f>
              <c:strCache>
                <c:ptCount val="1"/>
                <c:pt idx="0">
                  <c:v>srednji</c:v>
                </c:pt>
              </c:strCache>
            </c:strRef>
          </c:tx>
          <c:marker>
            <c:symbol val="none"/>
          </c:marker>
          <c:cat>
            <c:numRef>
              <c:f>investicije!$A$11:$A$17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investicije!$C$11:$C$17</c:f>
              <c:numCache>
                <c:formatCode>#,##0</c:formatCode>
                <c:ptCount val="7"/>
                <c:pt idx="0">
                  <c:v>408.20820700000002</c:v>
                </c:pt>
                <c:pt idx="1">
                  <c:v>275</c:v>
                </c:pt>
                <c:pt idx="2">
                  <c:v>191</c:v>
                </c:pt>
                <c:pt idx="3">
                  <c:v>254.984938</c:v>
                </c:pt>
                <c:pt idx="4">
                  <c:v>193.09339</c:v>
                </c:pt>
                <c:pt idx="5">
                  <c:v>199.31676300000001</c:v>
                </c:pt>
                <c:pt idx="6">
                  <c:v>199.95550299999999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CD-40B1-A1CD-F674B1E7A9C0}"/>
            </c:ext>
          </c:extLst>
        </c:ser>
        <c:ser>
          <c:idx val="2"/>
          <c:order val="2"/>
          <c:tx>
            <c:strRef>
              <c:f>investicije!$D$3</c:f>
              <c:strCache>
                <c:ptCount val="1"/>
                <c:pt idx="0">
                  <c:v>veliki</c:v>
                </c:pt>
              </c:strCache>
            </c:strRef>
          </c:tx>
          <c:marker>
            <c:symbol val="none"/>
          </c:marker>
          <c:cat>
            <c:numRef>
              <c:f>investicije!$A$11:$A$17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investicije!$D$11:$D$17</c:f>
              <c:numCache>
                <c:formatCode>#,##0</c:formatCode>
                <c:ptCount val="7"/>
                <c:pt idx="0">
                  <c:v>1054.2062390000001</c:v>
                </c:pt>
                <c:pt idx="1">
                  <c:v>888</c:v>
                </c:pt>
                <c:pt idx="2">
                  <c:v>645</c:v>
                </c:pt>
                <c:pt idx="3">
                  <c:v>825.626171</c:v>
                </c:pt>
                <c:pt idx="4">
                  <c:v>554.98670700000002</c:v>
                </c:pt>
                <c:pt idx="5">
                  <c:v>715.17440499999998</c:v>
                </c:pt>
                <c:pt idx="6">
                  <c:v>534.73021100000005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4CD-40B1-A1CD-F674B1E7A9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320128"/>
        <c:axId val="136321664"/>
      </c:lineChart>
      <c:catAx>
        <c:axId val="13632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321664"/>
        <c:crosses val="autoZero"/>
        <c:auto val="1"/>
        <c:lblAlgn val="ctr"/>
        <c:lblOffset val="100"/>
        <c:noMultiLvlLbl val="0"/>
      </c:catAx>
      <c:valAx>
        <c:axId val="13632166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6320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923550096778445"/>
          <c:y val="0.74479440069991243"/>
          <c:w val="0.50158392363116777"/>
          <c:h val="0.1122626859142607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722222222222223"/>
          <c:y val="0.19907407407407407"/>
          <c:w val="0.68595975503062112"/>
          <c:h val="0.71296296296296291"/>
        </c:manualLayout>
      </c:layout>
      <c:pie3DChart>
        <c:varyColors val="1"/>
        <c:ser>
          <c:idx val="0"/>
          <c:order val="0"/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/>
          </c:spPr>
          <c:explosion val="16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540-4E86-8F04-45695C8DAF0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540-4E86-8F04-45695C8DAF0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E540-4E86-8F04-45695C8DAF01}"/>
              </c:ext>
            </c:extLst>
          </c:dPt>
          <c:dLbls>
            <c:dLbl>
              <c:idx val="1"/>
              <c:layout>
                <c:manualLayout>
                  <c:x val="0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sr-Latn-R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540-4E86-8F04-45695C8DAF01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izvoz_uvoz!$C$25:$E$25</c:f>
              <c:strCache>
                <c:ptCount val="3"/>
                <c:pt idx="0">
                  <c:v>male</c:v>
                </c:pt>
                <c:pt idx="1">
                  <c:v>srednje</c:v>
                </c:pt>
                <c:pt idx="2">
                  <c:v>velike</c:v>
                </c:pt>
              </c:strCache>
            </c:strRef>
          </c:cat>
          <c:val>
            <c:numRef>
              <c:f>izvoz_uvoz!$C$26:$E$26</c:f>
              <c:numCache>
                <c:formatCode>0.0%</c:formatCode>
                <c:ptCount val="3"/>
                <c:pt idx="0">
                  <c:v>0.14562152734382028</c:v>
                </c:pt>
                <c:pt idx="1">
                  <c:v>0.20927733852993871</c:v>
                </c:pt>
                <c:pt idx="2">
                  <c:v>0.64510113412624104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540-4E86-8F04-45695C8DAF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22222222222222"/>
          <c:y val="0.18518518518518517"/>
          <c:w val="0.67484864391951005"/>
          <c:h val="0.70370370370370372"/>
        </c:manualLayout>
      </c:layout>
      <c:pie3DChart>
        <c:varyColors val="1"/>
        <c:ser>
          <c:idx val="0"/>
          <c:order val="0"/>
          <c:explosion val="1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ECE-4E23-98A3-4FDD35FCACEE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ECE-4E23-98A3-4FDD35FCACEE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4ECE-4E23-98A3-4FDD35FCACEE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izvoz_uvoz!$C$49:$E$49</c:f>
              <c:strCache>
                <c:ptCount val="3"/>
                <c:pt idx="0">
                  <c:v>male</c:v>
                </c:pt>
                <c:pt idx="1">
                  <c:v>srednje</c:v>
                </c:pt>
                <c:pt idx="2">
                  <c:v>velike</c:v>
                </c:pt>
              </c:strCache>
            </c:strRef>
          </c:cat>
          <c:val>
            <c:numRef>
              <c:f>izvoz_uvoz!$C$50:$E$50</c:f>
              <c:numCache>
                <c:formatCode>0.0%</c:formatCode>
                <c:ptCount val="3"/>
                <c:pt idx="0">
                  <c:v>0.2927948535379396</c:v>
                </c:pt>
                <c:pt idx="1">
                  <c:v>9.4539780410487023E-2</c:v>
                </c:pt>
                <c:pt idx="2">
                  <c:v>0.6126653660515734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ECE-4E23-98A3-4FDD35FCAC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855796150481189"/>
          <c:y val="0.18103018372703411"/>
          <c:w val="0.81819138232720912"/>
          <c:h val="0.60576771653543304"/>
        </c:manualLayout>
      </c:layout>
      <c:lineChart>
        <c:grouping val="stacked"/>
        <c:varyColors val="0"/>
        <c:ser>
          <c:idx val="0"/>
          <c:order val="0"/>
          <c:tx>
            <c:strRef>
              <c:f>izvoz_uvoz!$H$47</c:f>
              <c:strCache>
                <c:ptCount val="1"/>
                <c:pt idx="0">
                  <c:v>mali</c:v>
                </c:pt>
              </c:strCache>
            </c:strRef>
          </c:tx>
          <c:marker>
            <c:symbol val="none"/>
          </c:marker>
          <c:cat>
            <c:numRef>
              <c:f>izvoz_uvoz!$G$48:$G$54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izvoz_uvoz!$H$48:$H$54</c:f>
              <c:numCache>
                <c:formatCode>_-* #,##0\ _k_n_-;\-* #,##0\ _k_n_-;_-* "-"??\ _k_n_-;_-@_-</c:formatCode>
                <c:ptCount val="7"/>
                <c:pt idx="0">
                  <c:v>850.15852500000005</c:v>
                </c:pt>
                <c:pt idx="1">
                  <c:v>591.08432500000004</c:v>
                </c:pt>
                <c:pt idx="2">
                  <c:v>584.74226099999998</c:v>
                </c:pt>
                <c:pt idx="3">
                  <c:v>529.85536300000001</c:v>
                </c:pt>
                <c:pt idx="4">
                  <c:v>517.83937300000002</c:v>
                </c:pt>
                <c:pt idx="5">
                  <c:v>516.51866399999994</c:v>
                </c:pt>
                <c:pt idx="6">
                  <c:v>553.73079099999995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izvoz_uvoz!$I$47</c:f>
              <c:strCache>
                <c:ptCount val="1"/>
                <c:pt idx="0">
                  <c:v>srednji</c:v>
                </c:pt>
              </c:strCache>
            </c:strRef>
          </c:tx>
          <c:marker>
            <c:symbol val="none"/>
          </c:marker>
          <c:cat>
            <c:numRef>
              <c:f>izvoz_uvoz!$G$48:$G$54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izvoz_uvoz!$I$48:$I$54</c:f>
              <c:numCache>
                <c:formatCode>_-* #,##0\ _k_n_-;\-* #,##0\ _k_n_-;_-* "-"??\ _k_n_-;_-@_-</c:formatCode>
                <c:ptCount val="7"/>
                <c:pt idx="0">
                  <c:v>648.53204700000003</c:v>
                </c:pt>
                <c:pt idx="1">
                  <c:v>459.52649200000002</c:v>
                </c:pt>
                <c:pt idx="2">
                  <c:v>273.10855700000002</c:v>
                </c:pt>
                <c:pt idx="3">
                  <c:v>381.04190499999999</c:v>
                </c:pt>
                <c:pt idx="4">
                  <c:v>284.51742999999999</c:v>
                </c:pt>
                <c:pt idx="5">
                  <c:v>353.17215399999998</c:v>
                </c:pt>
                <c:pt idx="6">
                  <c:v>178.79271700000001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izvoz_uvoz!$J$47</c:f>
              <c:strCache>
                <c:ptCount val="1"/>
                <c:pt idx="0">
                  <c:v>veliki</c:v>
                </c:pt>
              </c:strCache>
            </c:strRef>
          </c:tx>
          <c:marker>
            <c:symbol val="none"/>
          </c:marker>
          <c:cat>
            <c:numRef>
              <c:f>izvoz_uvoz!$G$48:$G$54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izvoz_uvoz!$J$48:$J$54</c:f>
              <c:numCache>
                <c:formatCode>_-* #,##0\ _k_n_-;\-* #,##0\ _k_n_-;_-* "-"??\ _k_n_-;_-@_-</c:formatCode>
                <c:ptCount val="7"/>
                <c:pt idx="0">
                  <c:v>1120.3780280000001</c:v>
                </c:pt>
                <c:pt idx="1">
                  <c:v>745.49693500000001</c:v>
                </c:pt>
                <c:pt idx="2">
                  <c:v>1125.251135</c:v>
                </c:pt>
                <c:pt idx="3">
                  <c:v>1171.6439519999999</c:v>
                </c:pt>
                <c:pt idx="4">
                  <c:v>1148.2100780000001</c:v>
                </c:pt>
                <c:pt idx="5">
                  <c:v>1187.9003620000001</c:v>
                </c:pt>
                <c:pt idx="6">
                  <c:v>1158.666806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583040"/>
        <c:axId val="134584576"/>
      </c:lineChart>
      <c:catAx>
        <c:axId val="134583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34584576"/>
        <c:crosses val="autoZero"/>
        <c:auto val="1"/>
        <c:lblAlgn val="ctr"/>
        <c:lblOffset val="100"/>
        <c:noMultiLvlLbl val="0"/>
      </c:catAx>
      <c:valAx>
        <c:axId val="134584576"/>
        <c:scaling>
          <c:orientation val="minMax"/>
        </c:scaling>
        <c:delete val="0"/>
        <c:axPos val="l"/>
        <c:majorGridlines/>
        <c:numFmt formatCode="_-* #,##0\ _k_n_-;\-* #,##0\ _k_n_-;_-* &quot;-&quot;??\ _k_n_-;_-@_-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34583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563813034009048"/>
          <c:y val="0.86516475008969207"/>
          <c:w val="0.61547283185346513"/>
          <c:h val="0.12152193206065065"/>
        </c:manualLayout>
      </c:layout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zero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855796150481189"/>
          <c:y val="0.2226968503937008"/>
          <c:w val="0.83485804899387572"/>
          <c:h val="0.55484179060950711"/>
        </c:manualLayout>
      </c:layout>
      <c:lineChart>
        <c:grouping val="stacked"/>
        <c:varyColors val="0"/>
        <c:ser>
          <c:idx val="0"/>
          <c:order val="0"/>
          <c:tx>
            <c:strRef>
              <c:f>izvoz_uvoz!$H$37</c:f>
              <c:strCache>
                <c:ptCount val="1"/>
                <c:pt idx="0">
                  <c:v>mali</c:v>
                </c:pt>
              </c:strCache>
            </c:strRef>
          </c:tx>
          <c:marker>
            <c:symbol val="none"/>
          </c:marker>
          <c:cat>
            <c:numRef>
              <c:f>izvoz_uvoz!$G$38:$G$44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izvoz_uvoz!$H$38:$H$44</c:f>
              <c:numCache>
                <c:formatCode>_-* #,##0\ _k_n_-;\-* #,##0\ _k_n_-;_-* "-"??\ _k_n_-;_-@_-</c:formatCode>
                <c:ptCount val="7"/>
                <c:pt idx="0">
                  <c:v>588.16083800000001</c:v>
                </c:pt>
                <c:pt idx="1">
                  <c:v>454.79727700000001</c:v>
                </c:pt>
                <c:pt idx="2">
                  <c:v>556.71743100000003</c:v>
                </c:pt>
                <c:pt idx="3">
                  <c:v>580.10537899999997</c:v>
                </c:pt>
                <c:pt idx="4">
                  <c:v>794.941776</c:v>
                </c:pt>
                <c:pt idx="5">
                  <c:v>634.06860200000006</c:v>
                </c:pt>
                <c:pt idx="6">
                  <c:v>541.93615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izvoz_uvoz!$I$37</c:f>
              <c:strCache>
                <c:ptCount val="1"/>
                <c:pt idx="0">
                  <c:v>srednji</c:v>
                </c:pt>
              </c:strCache>
            </c:strRef>
          </c:tx>
          <c:marker>
            <c:symbol val="none"/>
          </c:marker>
          <c:cat>
            <c:numRef>
              <c:f>izvoz_uvoz!$G$38:$G$44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izvoz_uvoz!$I$38:$I$44</c:f>
              <c:numCache>
                <c:formatCode>_-* #,##0\ _k_n_-;\-* #,##0\ _k_n_-;_-* "-"??\ _k_n_-;_-@_-</c:formatCode>
                <c:ptCount val="7"/>
                <c:pt idx="0">
                  <c:v>680.36852299999998</c:v>
                </c:pt>
                <c:pt idx="1">
                  <c:v>604.81335799999999</c:v>
                </c:pt>
                <c:pt idx="2">
                  <c:v>598.29154100000005</c:v>
                </c:pt>
                <c:pt idx="3">
                  <c:v>593.38938599999994</c:v>
                </c:pt>
                <c:pt idx="4">
                  <c:v>429.67564599999997</c:v>
                </c:pt>
                <c:pt idx="5">
                  <c:v>533.19963600000005</c:v>
                </c:pt>
                <c:pt idx="6">
                  <c:v>778.83371499999998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izvoz_uvoz!$J$37</c:f>
              <c:strCache>
                <c:ptCount val="1"/>
                <c:pt idx="0">
                  <c:v>veliki</c:v>
                </c:pt>
              </c:strCache>
            </c:strRef>
          </c:tx>
          <c:marker>
            <c:symbol val="none"/>
          </c:marker>
          <c:cat>
            <c:numRef>
              <c:f>izvoz_uvoz!$G$38:$G$44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izvoz_uvoz!$J$38:$J$44</c:f>
              <c:numCache>
                <c:formatCode>_-* #,##0\ _k_n_-;\-* #,##0\ _k_n_-;_-* "-"??\ _k_n_-;_-@_-</c:formatCode>
                <c:ptCount val="7"/>
                <c:pt idx="0">
                  <c:v>1527.249202</c:v>
                </c:pt>
                <c:pt idx="1">
                  <c:v>1216.5428300000001</c:v>
                </c:pt>
                <c:pt idx="2">
                  <c:v>1375.936177</c:v>
                </c:pt>
                <c:pt idx="3">
                  <c:v>2141.3013679999999</c:v>
                </c:pt>
                <c:pt idx="4">
                  <c:v>2293.5673849999998</c:v>
                </c:pt>
                <c:pt idx="5">
                  <c:v>2088.1552609999999</c:v>
                </c:pt>
                <c:pt idx="6">
                  <c:v>2400.768838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437760"/>
        <c:axId val="136439296"/>
      </c:lineChart>
      <c:catAx>
        <c:axId val="13643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36439296"/>
        <c:crosses val="autoZero"/>
        <c:auto val="1"/>
        <c:lblAlgn val="ctr"/>
        <c:lblOffset val="100"/>
        <c:noMultiLvlLbl val="0"/>
      </c:catAx>
      <c:valAx>
        <c:axId val="136439296"/>
        <c:scaling>
          <c:orientation val="minMax"/>
        </c:scaling>
        <c:delete val="0"/>
        <c:axPos val="l"/>
        <c:majorGridlines/>
        <c:numFmt formatCode="_-* #,##0\ _k_n_-;\-* #,##0\ _k_n_-;_-* &quot;-&quot;??\ _k_n_-;_-@_-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36437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119383481320153"/>
          <c:y val="0.8697943692290262"/>
          <c:w val="0.74325057240185388"/>
          <c:h val="9.8373836363979672E-2"/>
        </c:manualLayout>
      </c:layout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zero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0.15225</cdr:x>
      <cdr:y>0.01915</cdr:y>
    </cdr:from>
    <cdr:to>
      <cdr:x>0.90484</cdr:x>
      <cdr:y>0.09867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38200" y="61913"/>
          <a:ext cx="41433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100" b="1"/>
            <a:t>Kretanje broja zaposlenih prema veličini poduzetnika u OBŽ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0.13837</cdr:x>
      <cdr:y>0.02274</cdr:y>
    </cdr:from>
    <cdr:to>
      <cdr:x>0.89263</cdr:x>
      <cdr:y>0.10622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27075" y="69850"/>
          <a:ext cx="41433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hr-HR" sz="1100" b="1"/>
            <a:t>Kretanje ukupnog prihoda prema veličini poduzetnika u OBŽ u milijunima kuna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0.05173</cdr:x>
      <cdr:y>0.02487</cdr:y>
    </cdr:from>
    <cdr:to>
      <cdr:x>0.94741</cdr:x>
      <cdr:y>0.11849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54741" y="74612"/>
          <a:ext cx="4410689" cy="2809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hr-HR" sz="1100" b="1"/>
            <a:t>Kretanje konsolidiranog računa (dobit-gubitak) prema veličini poduzetnika u OBŽ u milijunima kuna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0.01852</cdr:y>
    </cdr:from>
    <cdr:to>
      <cdr:x>1</cdr:x>
      <cdr:y>0.12092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0800" y="50800"/>
          <a:ext cx="4911726" cy="2809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hr-HR" sz="1100" b="1"/>
            <a:t>Kretanje investicija u dugotrajnu imovinu prema veličini poduzetnika u OBŽ u milijunima kuna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0.03215</cdr:x>
      <cdr:y>0.0191</cdr:y>
    </cdr:from>
    <cdr:to>
      <cdr:x>0.96452</cdr:x>
      <cdr:y>0.2552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38496"/>
          <a:ext cx="2486025" cy="4758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hr-HR" sz="1100" b="1"/>
            <a:t>Udio u izvozu prema veličini tvrtki (2014.g.)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0.05801</cdr:x>
      <cdr:y>0.02894</cdr:y>
    </cdr:from>
    <cdr:to>
      <cdr:x>0.89028</cdr:x>
      <cdr:y>0.14699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2400" y="58163"/>
          <a:ext cx="2186361" cy="2372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hr-HR" sz="1100" b="1"/>
            <a:t>Udio u uvozu prema veličini tvrtki (2014.g.)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0.06458</cdr:x>
      <cdr:y>0.03646</cdr:y>
    </cdr:from>
    <cdr:to>
      <cdr:x>0.93958</cdr:x>
      <cdr:y>0.13715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5275" y="100013"/>
          <a:ext cx="40005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100" b="1"/>
            <a:t>Kretanje uvoza prema veličini tvrtki u OBŽ u milijunima kuna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0.13958</cdr:x>
      <cdr:y>0.05035</cdr:y>
    </cdr:from>
    <cdr:to>
      <cdr:x>0.88333</cdr:x>
      <cdr:y>0.18576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38175" y="138113"/>
          <a:ext cx="3400425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hr-HR"/>
        </a:p>
      </cdr:txBody>
    </cdr:sp>
  </cdr:relSizeAnchor>
  <cdr:relSizeAnchor xmlns:cdr="http://schemas.openxmlformats.org/drawingml/2006/chartDrawing">
    <cdr:from>
      <cdr:x>0.03542</cdr:x>
      <cdr:y>0.03646</cdr:y>
    </cdr:from>
    <cdr:to>
      <cdr:x>0.9625</cdr:x>
      <cdr:y>0.19618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61925" y="100013"/>
          <a:ext cx="4238625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hr-HR" sz="1100" b="1"/>
            <a:t>Kretanje prihoda</a:t>
          </a:r>
          <a:r>
            <a:rPr lang="hr-HR" sz="1100" b="1" baseline="0"/>
            <a:t> od prodaje u inozemstvu prema veličini poduzetnika u OBŽ u milijunima kuna</a:t>
          </a:r>
          <a:endParaRPr lang="hr-HR" sz="11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Kornela Miling</dc:creator>
  <cp:lastModifiedBy>Kornela Miling</cp:lastModifiedBy>
  <cp:revision>3</cp:revision>
  <dcterms:created xsi:type="dcterms:W3CDTF">2016-06-13T12:26:00Z</dcterms:created>
  <dcterms:modified xsi:type="dcterms:W3CDTF">2016-06-15T05:46:00Z</dcterms:modified>
</cp:coreProperties>
</file>