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9A1" w:rsidRDefault="00EB59A1" w:rsidP="00EB59A1">
      <w:pPr>
        <w:pStyle w:val="tb-na18"/>
        <w:jc w:val="center"/>
        <w:rPr>
          <w:b/>
          <w:bCs/>
          <w:color w:val="000000"/>
          <w:sz w:val="40"/>
          <w:szCs w:val="40"/>
        </w:rPr>
      </w:pPr>
      <w:bookmarkStart w:id="0" w:name="_GoBack"/>
      <w:bookmarkEnd w:id="0"/>
      <w:r>
        <w:rPr>
          <w:b/>
          <w:bCs/>
          <w:color w:val="000000"/>
          <w:sz w:val="40"/>
          <w:szCs w:val="40"/>
        </w:rPr>
        <w:t>VLADA REPUBLIKE HRVATSKE</w:t>
      </w:r>
    </w:p>
    <w:p w:rsidR="00EB59A1" w:rsidRDefault="00EB59A1" w:rsidP="00EB59A1">
      <w:pPr>
        <w:pStyle w:val="broj-d"/>
        <w:jc w:val="right"/>
        <w:rPr>
          <w:b/>
          <w:bCs/>
          <w:color w:val="000000"/>
          <w:sz w:val="26"/>
          <w:szCs w:val="26"/>
        </w:rPr>
      </w:pPr>
      <w:r>
        <w:rPr>
          <w:b/>
          <w:bCs/>
          <w:color w:val="000000"/>
          <w:sz w:val="26"/>
          <w:szCs w:val="26"/>
        </w:rPr>
        <w:t>1618</w:t>
      </w:r>
    </w:p>
    <w:p w:rsidR="00EB59A1" w:rsidRDefault="00EB59A1" w:rsidP="00EB59A1">
      <w:pPr>
        <w:pStyle w:val="t-9-8"/>
        <w:jc w:val="both"/>
        <w:rPr>
          <w:color w:val="000000"/>
        </w:rPr>
      </w:pPr>
      <w:r>
        <w:rPr>
          <w:color w:val="000000"/>
        </w:rPr>
        <w:t>Na temelju članka 8. i članka 31. stavka 2. Zakona o Vladi Republike Hrvatske (»Narodne novine«, broj 150/2011), Vlada Republike Hrvatske je na sjednici održanoj 20. lipnja 2012. godine donijela</w:t>
      </w:r>
    </w:p>
    <w:p w:rsidR="00EB59A1" w:rsidRDefault="00EB59A1" w:rsidP="00EB59A1">
      <w:pPr>
        <w:pStyle w:val="tb-na16"/>
        <w:jc w:val="center"/>
        <w:rPr>
          <w:b/>
          <w:bCs/>
          <w:color w:val="000000"/>
          <w:sz w:val="36"/>
          <w:szCs w:val="36"/>
        </w:rPr>
      </w:pPr>
      <w:r>
        <w:rPr>
          <w:b/>
          <w:bCs/>
          <w:color w:val="000000"/>
          <w:sz w:val="36"/>
          <w:szCs w:val="36"/>
        </w:rPr>
        <w:t>ODLUKU</w:t>
      </w:r>
    </w:p>
    <w:p w:rsidR="00EB59A1" w:rsidRDefault="00EB59A1" w:rsidP="00EB59A1">
      <w:pPr>
        <w:pStyle w:val="t-12-9-fett-s"/>
        <w:jc w:val="center"/>
        <w:rPr>
          <w:b/>
          <w:bCs/>
          <w:color w:val="000000"/>
          <w:sz w:val="28"/>
          <w:szCs w:val="28"/>
        </w:rPr>
      </w:pPr>
      <w:r>
        <w:rPr>
          <w:b/>
          <w:bCs/>
          <w:color w:val="000000"/>
          <w:sz w:val="28"/>
          <w:szCs w:val="28"/>
        </w:rPr>
        <w:t>O MJERAMA ZA POTICANJE ALTERNATIVNOG I IZVANSUDSKOG RJEŠAVANJA SPOROVA U GRAĐANSKOPRAVNIM PREDMETIMA U KOJIMA JE JEDNA OD STRANAKA U SPORU REPUBLIKA HRVATSKA</w:t>
      </w:r>
    </w:p>
    <w:p w:rsidR="00EB59A1" w:rsidRDefault="00EB59A1" w:rsidP="00EB59A1">
      <w:pPr>
        <w:pStyle w:val="clanak-"/>
        <w:jc w:val="center"/>
        <w:rPr>
          <w:color w:val="000000"/>
        </w:rPr>
      </w:pPr>
      <w:r>
        <w:rPr>
          <w:color w:val="000000"/>
        </w:rPr>
        <w:t>I.</w:t>
      </w:r>
    </w:p>
    <w:p w:rsidR="00EB59A1" w:rsidRDefault="00EB59A1" w:rsidP="00EB59A1">
      <w:pPr>
        <w:pStyle w:val="t-9-8"/>
        <w:jc w:val="both"/>
        <w:rPr>
          <w:color w:val="000000"/>
        </w:rPr>
      </w:pPr>
      <w:r>
        <w:rPr>
          <w:color w:val="000000"/>
        </w:rPr>
        <w:t>Ovom Odlukom se, s ciljem racionalnijeg trošenja sredstava državnog proračuna Republike Hrvatske, izbjegavanja nastanka sporova i rasterećenja sudova u građanskopravnim predmetima, određuju mjere za poticanje alternativnog i izvansudskog rješavanja sporova u građanskopravnim predmetima u kojima je jedna od stranaka u sporu Republika Hrvatska.</w:t>
      </w:r>
    </w:p>
    <w:p w:rsidR="00EB59A1" w:rsidRDefault="00EB59A1" w:rsidP="00EB59A1">
      <w:pPr>
        <w:pStyle w:val="clanak"/>
        <w:jc w:val="center"/>
        <w:rPr>
          <w:color w:val="000000"/>
        </w:rPr>
      </w:pPr>
      <w:r>
        <w:rPr>
          <w:color w:val="000000"/>
        </w:rPr>
        <w:t>II.</w:t>
      </w:r>
    </w:p>
    <w:p w:rsidR="00EB59A1" w:rsidRDefault="00EB59A1" w:rsidP="00EB59A1">
      <w:pPr>
        <w:pStyle w:val="t-9-8"/>
        <w:jc w:val="both"/>
        <w:rPr>
          <w:color w:val="000000"/>
        </w:rPr>
      </w:pPr>
      <w:r>
        <w:rPr>
          <w:color w:val="000000"/>
        </w:rPr>
        <w:t>Radi postizanja ciljeva iz točke I. ove Odluke, u sporovima koji proizlaze iz ugovora u kojima je Republika Hrvatska jedna od ugovornih strana, nastojat će se, u što kraćem roku, postići rješenje spora mirnim putem, izvan suda, i to kroz sklapanje izvansudskih nagodbi, provođenje arbitražnih postupaka, postupke mirenja, te sklapanje sudskih nagodbi u slučajevima kad je sudski postupak u tijeku.</w:t>
      </w:r>
    </w:p>
    <w:p w:rsidR="00EB59A1" w:rsidRDefault="00EB59A1" w:rsidP="00EB59A1">
      <w:pPr>
        <w:pStyle w:val="clanak"/>
        <w:jc w:val="center"/>
        <w:rPr>
          <w:color w:val="000000"/>
        </w:rPr>
      </w:pPr>
      <w:r>
        <w:rPr>
          <w:color w:val="000000"/>
        </w:rPr>
        <w:t>III.</w:t>
      </w:r>
    </w:p>
    <w:p w:rsidR="00EB59A1" w:rsidRDefault="00EB59A1" w:rsidP="00EB59A1">
      <w:pPr>
        <w:pStyle w:val="t-9-8"/>
        <w:jc w:val="both"/>
        <w:rPr>
          <w:color w:val="000000"/>
        </w:rPr>
      </w:pPr>
      <w:r>
        <w:rPr>
          <w:color w:val="000000"/>
        </w:rPr>
        <w:t>Tijela državne uprave dužna su kod sklapanja pravnih poslova, cijeneći sve okolnosti, a posebice složenost pravnog posla, ugovoriti arbitražu kao mogući način rješenja spora.</w:t>
      </w:r>
    </w:p>
    <w:p w:rsidR="00EB59A1" w:rsidRDefault="00EB59A1" w:rsidP="00EB59A1">
      <w:pPr>
        <w:pStyle w:val="t-9-8"/>
        <w:jc w:val="both"/>
        <w:rPr>
          <w:color w:val="000000"/>
        </w:rPr>
      </w:pPr>
      <w:r>
        <w:rPr>
          <w:color w:val="000000"/>
        </w:rPr>
        <w:t>Obrazac arbitražne klauzule sadržan je u Prilogu 1., koji je sastavni dio ove Odluke.</w:t>
      </w:r>
    </w:p>
    <w:p w:rsidR="00EB59A1" w:rsidRDefault="00EB59A1" w:rsidP="00EB59A1">
      <w:pPr>
        <w:pStyle w:val="t-9-8"/>
        <w:jc w:val="both"/>
        <w:rPr>
          <w:color w:val="000000"/>
        </w:rPr>
      </w:pPr>
      <w:r>
        <w:rPr>
          <w:color w:val="000000"/>
        </w:rPr>
        <w:t>U sklopljenim ugovorima u kojima je Republika Hrvatska jedna od ugovornih strana, a koji ne sadrže uglavak o arbitražnoj klauzuli, sklopit će se ugovor o arbitraži ukoliko se postigne naknadna suglasnost o arbitražnom rješavanju sporova.</w:t>
      </w:r>
    </w:p>
    <w:p w:rsidR="00EB59A1" w:rsidRDefault="00EB59A1" w:rsidP="00EB59A1">
      <w:pPr>
        <w:pStyle w:val="t-9-8"/>
        <w:jc w:val="both"/>
        <w:rPr>
          <w:color w:val="000000"/>
        </w:rPr>
      </w:pPr>
      <w:r>
        <w:rPr>
          <w:color w:val="000000"/>
        </w:rPr>
        <w:t>Ugovor o arbitraži sklapa se prema obrascu sadržanom u Prilogu 2., koji je sastavni dio ove Odluke.</w:t>
      </w:r>
    </w:p>
    <w:p w:rsidR="00EB59A1" w:rsidRDefault="00EB59A1" w:rsidP="00EB59A1">
      <w:pPr>
        <w:pStyle w:val="clanak"/>
        <w:jc w:val="center"/>
        <w:rPr>
          <w:color w:val="000000"/>
        </w:rPr>
      </w:pPr>
      <w:r>
        <w:rPr>
          <w:color w:val="000000"/>
        </w:rPr>
        <w:lastRenderedPageBreak/>
        <w:t>IV.</w:t>
      </w:r>
    </w:p>
    <w:p w:rsidR="00EB59A1" w:rsidRDefault="00EB59A1" w:rsidP="00EB59A1">
      <w:pPr>
        <w:pStyle w:val="t-9-8"/>
        <w:jc w:val="both"/>
        <w:rPr>
          <w:color w:val="000000"/>
        </w:rPr>
      </w:pPr>
      <w:r>
        <w:rPr>
          <w:color w:val="000000"/>
        </w:rPr>
        <w:t>Tijelo državne uprave može uvijek i tijekom pokrenutih postupaka samostalno sklopiti izvansudsku nagodbu i o nagodbi izvijestiti državno odvjetništvo.</w:t>
      </w:r>
    </w:p>
    <w:p w:rsidR="00EB59A1" w:rsidRDefault="00EB59A1" w:rsidP="00EB59A1">
      <w:pPr>
        <w:pStyle w:val="t-9-8"/>
        <w:jc w:val="both"/>
        <w:rPr>
          <w:color w:val="000000"/>
        </w:rPr>
      </w:pPr>
      <w:r>
        <w:rPr>
          <w:color w:val="000000"/>
        </w:rPr>
        <w:t>Po potrebi u slučaju iz stavka 1. ove točke, tijelo državne uprave može zatražiti stručnu pomoć državnog odvjetništva.</w:t>
      </w:r>
    </w:p>
    <w:p w:rsidR="00EB59A1" w:rsidRDefault="00EB59A1" w:rsidP="00EB59A1">
      <w:pPr>
        <w:pStyle w:val="t-9-8"/>
        <w:jc w:val="both"/>
        <w:rPr>
          <w:color w:val="000000"/>
        </w:rPr>
      </w:pPr>
      <w:r>
        <w:rPr>
          <w:color w:val="000000"/>
        </w:rPr>
        <w:t>U slučaju kad je pokrenut postupak po zahtjevu za mirno rješenje spora na temelju članka 186.a Zakona o parničnom postupku ili je u tijeku parnični postupak, preporuča se državnom odvjetništvu i tijelu državne uprave sporni odnos riješiti mirnim putem, izvansudskom ili sudskom nagodbom.</w:t>
      </w:r>
    </w:p>
    <w:p w:rsidR="00EB59A1" w:rsidRDefault="00EB59A1" w:rsidP="00EB59A1">
      <w:pPr>
        <w:pStyle w:val="clanak"/>
        <w:jc w:val="center"/>
        <w:rPr>
          <w:color w:val="000000"/>
        </w:rPr>
      </w:pPr>
      <w:r>
        <w:rPr>
          <w:color w:val="000000"/>
        </w:rPr>
        <w:t>V.</w:t>
      </w:r>
    </w:p>
    <w:p w:rsidR="00EB59A1" w:rsidRDefault="00EB59A1" w:rsidP="00EB59A1">
      <w:pPr>
        <w:pStyle w:val="t-9-8"/>
        <w:jc w:val="both"/>
        <w:rPr>
          <w:color w:val="000000"/>
        </w:rPr>
      </w:pPr>
      <w:r>
        <w:rPr>
          <w:color w:val="000000"/>
        </w:rPr>
        <w:t>Vlada Republike Hrvatske će posebnom odlukom osnovati Povjerenstvo za poticanje alternativnog rješavanja sporova, kao savjetodavno tijelo i donijeti protokol o načinu njegova postupanja kao sastavni dio te odluke.</w:t>
      </w:r>
    </w:p>
    <w:p w:rsidR="00EB59A1" w:rsidRDefault="00EB59A1" w:rsidP="00EB59A1">
      <w:pPr>
        <w:pStyle w:val="clanak"/>
        <w:jc w:val="center"/>
        <w:rPr>
          <w:color w:val="000000"/>
        </w:rPr>
      </w:pPr>
      <w:r>
        <w:rPr>
          <w:color w:val="000000"/>
        </w:rPr>
        <w:t>VI.</w:t>
      </w:r>
    </w:p>
    <w:p w:rsidR="00EB59A1" w:rsidRDefault="00EB59A1" w:rsidP="00EB59A1">
      <w:pPr>
        <w:pStyle w:val="t-9-8"/>
        <w:jc w:val="both"/>
        <w:rPr>
          <w:color w:val="000000"/>
        </w:rPr>
      </w:pPr>
      <w:r>
        <w:rPr>
          <w:color w:val="000000"/>
        </w:rPr>
        <w:t>Radi provedbe ove Odluke, građanskopravni predmeti u kojima su postupci u tijeku, a u kojima je Republika Hrvatska jedna od stranaka u sporu, razvrstavaju se na sljedeći način:</w:t>
      </w:r>
    </w:p>
    <w:p w:rsidR="00EB59A1" w:rsidRDefault="00EB59A1" w:rsidP="00EB59A1">
      <w:pPr>
        <w:pStyle w:val="t-9-8"/>
        <w:jc w:val="both"/>
        <w:rPr>
          <w:color w:val="000000"/>
        </w:rPr>
      </w:pPr>
      <w:r>
        <w:rPr>
          <w:color w:val="000000"/>
        </w:rPr>
        <w:t>– predmeti čija je vrijednost predmeta spora do uključivo 5.000,00 kuna,</w:t>
      </w:r>
    </w:p>
    <w:p w:rsidR="00EB59A1" w:rsidRDefault="00EB59A1" w:rsidP="00EB59A1">
      <w:pPr>
        <w:pStyle w:val="t-9-8"/>
        <w:jc w:val="both"/>
        <w:rPr>
          <w:color w:val="000000"/>
        </w:rPr>
      </w:pPr>
      <w:r>
        <w:rPr>
          <w:color w:val="000000"/>
        </w:rPr>
        <w:t>– predmeti čija je vrijednost predmeta spora veća od 5.000,00 kuna do uključivo 1.000.000,00 kuna i</w:t>
      </w:r>
    </w:p>
    <w:p w:rsidR="00EB59A1" w:rsidRDefault="00EB59A1" w:rsidP="00EB59A1">
      <w:pPr>
        <w:pStyle w:val="t-9-8"/>
        <w:jc w:val="both"/>
        <w:rPr>
          <w:color w:val="000000"/>
        </w:rPr>
      </w:pPr>
      <w:r>
        <w:rPr>
          <w:color w:val="000000"/>
        </w:rPr>
        <w:t>– predmeti čija je vrijednost predmeta spora veća od 1.000.000,00 kuna.</w:t>
      </w:r>
    </w:p>
    <w:p w:rsidR="00EB59A1" w:rsidRDefault="00EB59A1" w:rsidP="00EB59A1">
      <w:pPr>
        <w:pStyle w:val="clanak"/>
        <w:jc w:val="center"/>
        <w:rPr>
          <w:color w:val="000000"/>
        </w:rPr>
      </w:pPr>
      <w:r>
        <w:rPr>
          <w:color w:val="000000"/>
        </w:rPr>
        <w:t>VII.</w:t>
      </w:r>
    </w:p>
    <w:p w:rsidR="00EB59A1" w:rsidRDefault="00EB59A1" w:rsidP="00EB59A1">
      <w:pPr>
        <w:pStyle w:val="t-9-8"/>
        <w:jc w:val="both"/>
        <w:rPr>
          <w:color w:val="000000"/>
        </w:rPr>
      </w:pPr>
      <w:r>
        <w:rPr>
          <w:color w:val="000000"/>
        </w:rPr>
        <w:t>Preporuča se državnom odvjetništvu da u sporovima do uključivo 5.000,00 kuna pokuša mirno riješiti sporove prema stanju spisa.</w:t>
      </w:r>
    </w:p>
    <w:p w:rsidR="00EB59A1" w:rsidRDefault="00EB59A1" w:rsidP="00EB59A1">
      <w:pPr>
        <w:pStyle w:val="clanak"/>
        <w:jc w:val="center"/>
        <w:rPr>
          <w:color w:val="000000"/>
        </w:rPr>
      </w:pPr>
      <w:r>
        <w:rPr>
          <w:color w:val="000000"/>
        </w:rPr>
        <w:t>VIII.</w:t>
      </w:r>
    </w:p>
    <w:p w:rsidR="00EB59A1" w:rsidRDefault="00EB59A1" w:rsidP="00EB59A1">
      <w:pPr>
        <w:pStyle w:val="t-9-8"/>
        <w:jc w:val="both"/>
        <w:rPr>
          <w:color w:val="000000"/>
        </w:rPr>
      </w:pPr>
      <w:r>
        <w:rPr>
          <w:color w:val="000000"/>
        </w:rPr>
        <w:t>Državno odvjetništvo će obavještavati Povjerenstvo iz točke V. ove Odluke o svim sporovima iz točke VI. podtočaka 2. i 3. ove Odluke te dati mišljenje o načinu rješenja spora.</w:t>
      </w:r>
    </w:p>
    <w:p w:rsidR="00EB59A1" w:rsidRDefault="00EB59A1" w:rsidP="00EB59A1">
      <w:pPr>
        <w:pStyle w:val="t-9-8"/>
        <w:jc w:val="both"/>
        <w:rPr>
          <w:color w:val="000000"/>
        </w:rPr>
      </w:pPr>
      <w:r>
        <w:rPr>
          <w:color w:val="000000"/>
        </w:rPr>
        <w:t>Državno odvjetništvo će obavještavati Povjerenstvo i o predmetima čija vrijednost predmeta spora ne prelazi visinu vrijednosti predmeta spora propisanu za sporove male vrijednosti, ako se radi o većem broju takvih predmeta koji su proizišli iz iste činjenične i pravne osnove.</w:t>
      </w:r>
    </w:p>
    <w:p w:rsidR="00EB59A1" w:rsidRDefault="00EB59A1" w:rsidP="00EB59A1">
      <w:pPr>
        <w:pStyle w:val="clanak"/>
        <w:jc w:val="center"/>
        <w:rPr>
          <w:color w:val="000000"/>
        </w:rPr>
      </w:pPr>
      <w:r>
        <w:rPr>
          <w:color w:val="000000"/>
        </w:rPr>
        <w:t>IX.</w:t>
      </w:r>
    </w:p>
    <w:p w:rsidR="00EB59A1" w:rsidRDefault="00EB59A1" w:rsidP="00EB59A1">
      <w:pPr>
        <w:pStyle w:val="t-9-8"/>
        <w:jc w:val="both"/>
        <w:rPr>
          <w:color w:val="000000"/>
        </w:rPr>
      </w:pPr>
      <w:r>
        <w:rPr>
          <w:color w:val="000000"/>
        </w:rPr>
        <w:lastRenderedPageBreak/>
        <w:t>Povjerenstvo će za predmete iz točke VI. podtočke 2., a Vlada Republike Hrvatske za predmete iz točke VI. podtočke 3. dati mišljenje državnom odvjetništvu o načinu rješenja spora.</w:t>
      </w:r>
    </w:p>
    <w:p w:rsidR="00EB59A1" w:rsidRDefault="00EB59A1" w:rsidP="00EB59A1">
      <w:pPr>
        <w:pStyle w:val="t-9-8"/>
        <w:jc w:val="both"/>
        <w:rPr>
          <w:color w:val="000000"/>
        </w:rPr>
      </w:pPr>
      <w:r>
        <w:rPr>
          <w:color w:val="000000"/>
        </w:rPr>
        <w:t>Povjerenstvo će dati mišljenje državnom odvjetništvu i o načinu rješenja sporova iz točke VIII. stavka 2. ove Odluke.</w:t>
      </w:r>
    </w:p>
    <w:p w:rsidR="00EB59A1" w:rsidRDefault="00EB59A1" w:rsidP="00EB59A1">
      <w:pPr>
        <w:pStyle w:val="clanak"/>
        <w:jc w:val="center"/>
        <w:rPr>
          <w:color w:val="000000"/>
        </w:rPr>
      </w:pPr>
      <w:r>
        <w:rPr>
          <w:color w:val="000000"/>
        </w:rPr>
        <w:t>X.</w:t>
      </w:r>
    </w:p>
    <w:p w:rsidR="00EB59A1" w:rsidRDefault="00EB59A1" w:rsidP="00EB59A1">
      <w:pPr>
        <w:pStyle w:val="t-9-8"/>
        <w:jc w:val="both"/>
        <w:rPr>
          <w:color w:val="000000"/>
        </w:rPr>
      </w:pPr>
      <w:r>
        <w:rPr>
          <w:color w:val="000000"/>
        </w:rPr>
        <w:t>Povjerenstvo odnosno Vlada Republike Hrvatske može odlučiti da se spor riješi izvansudskom nagodbom koju će sklopiti tijelo državne uprave iz točke III. ove Odluke.</w:t>
      </w:r>
    </w:p>
    <w:p w:rsidR="00EB59A1" w:rsidRDefault="00EB59A1" w:rsidP="00EB59A1">
      <w:pPr>
        <w:pStyle w:val="clanak"/>
        <w:jc w:val="center"/>
        <w:rPr>
          <w:color w:val="000000"/>
        </w:rPr>
      </w:pPr>
      <w:r>
        <w:rPr>
          <w:color w:val="000000"/>
        </w:rPr>
        <w:t>XI.</w:t>
      </w:r>
    </w:p>
    <w:p w:rsidR="00EB59A1" w:rsidRDefault="00EB59A1" w:rsidP="00EB59A1">
      <w:pPr>
        <w:pStyle w:val="t-9-8"/>
        <w:jc w:val="both"/>
        <w:rPr>
          <w:color w:val="000000"/>
        </w:rPr>
      </w:pPr>
      <w:r>
        <w:rPr>
          <w:color w:val="000000"/>
        </w:rPr>
        <w:t>Sredstva potrebna za provedbu mjera i primjenu pravila iz ove Odluke osigurat će se u državnom proračunu Republike Hrvatske, na poziciji tijela državne uprave iz čijeg djelokruga proizlazi spor.</w:t>
      </w:r>
    </w:p>
    <w:p w:rsidR="00EB59A1" w:rsidRDefault="00EB59A1" w:rsidP="00EB59A1">
      <w:pPr>
        <w:pStyle w:val="clanak"/>
        <w:jc w:val="center"/>
        <w:rPr>
          <w:color w:val="000000"/>
        </w:rPr>
      </w:pPr>
      <w:r>
        <w:rPr>
          <w:color w:val="000000"/>
        </w:rPr>
        <w:t>XII.</w:t>
      </w:r>
    </w:p>
    <w:p w:rsidR="00EB59A1" w:rsidRDefault="00EB59A1" w:rsidP="00EB59A1">
      <w:pPr>
        <w:pStyle w:val="t-9-8"/>
        <w:jc w:val="both"/>
        <w:rPr>
          <w:color w:val="000000"/>
        </w:rPr>
      </w:pPr>
      <w:r>
        <w:rPr>
          <w:color w:val="000000"/>
        </w:rPr>
        <w:t>Ova Odluka stupa na snagu danom donošenja, a objavit će se u »Narodnim novinama«.</w:t>
      </w:r>
    </w:p>
    <w:p w:rsidR="00EB59A1" w:rsidRDefault="00EB59A1" w:rsidP="00EB59A1">
      <w:pPr>
        <w:pStyle w:val="klasa2"/>
        <w:jc w:val="both"/>
        <w:rPr>
          <w:color w:val="000000"/>
        </w:rPr>
      </w:pPr>
      <w:r>
        <w:rPr>
          <w:color w:val="000000"/>
        </w:rPr>
        <w:t>Klasa: 740-01/12-01/01</w:t>
      </w:r>
    </w:p>
    <w:p w:rsidR="00EB59A1" w:rsidRDefault="00EB59A1" w:rsidP="00EB59A1">
      <w:pPr>
        <w:pStyle w:val="klasa2"/>
        <w:jc w:val="both"/>
        <w:rPr>
          <w:color w:val="000000"/>
        </w:rPr>
      </w:pPr>
      <w:r>
        <w:rPr>
          <w:color w:val="000000"/>
        </w:rPr>
        <w:t>Urbroj: 5030109-12-1</w:t>
      </w:r>
    </w:p>
    <w:p w:rsidR="00EB59A1" w:rsidRDefault="00EB59A1" w:rsidP="00EB59A1">
      <w:pPr>
        <w:pStyle w:val="klasa2"/>
        <w:jc w:val="both"/>
        <w:rPr>
          <w:color w:val="000000"/>
        </w:rPr>
      </w:pPr>
      <w:r>
        <w:rPr>
          <w:color w:val="000000"/>
        </w:rPr>
        <w:t>Zagreb, 20. lipnja 2012.</w:t>
      </w:r>
    </w:p>
    <w:p w:rsidR="00EB59A1" w:rsidRDefault="00EB59A1" w:rsidP="00EB59A1">
      <w:pPr>
        <w:pStyle w:val="t-9-8-potpis"/>
        <w:ind w:left="8057"/>
        <w:jc w:val="center"/>
        <w:rPr>
          <w:color w:val="000000"/>
        </w:rPr>
      </w:pPr>
      <w:r>
        <w:rPr>
          <w:color w:val="000000"/>
        </w:rPr>
        <w:t>Predsjednik</w:t>
      </w:r>
      <w:r>
        <w:rPr>
          <w:color w:val="000000"/>
        </w:rPr>
        <w:br/>
      </w:r>
      <w:r>
        <w:rPr>
          <w:color w:val="000000"/>
        </w:rPr>
        <w:br/>
      </w:r>
      <w:r>
        <w:rPr>
          <w:rStyle w:val="bold"/>
          <w:b/>
          <w:bCs/>
          <w:color w:val="000000"/>
        </w:rPr>
        <w:t>Zoran Milanović,</w:t>
      </w:r>
      <w:r>
        <w:rPr>
          <w:rStyle w:val="apple-converted-space"/>
          <w:b/>
          <w:bCs/>
          <w:color w:val="000000"/>
        </w:rPr>
        <w:t> </w:t>
      </w:r>
      <w:r>
        <w:rPr>
          <w:color w:val="000000"/>
        </w:rPr>
        <w:t>v. r.</w:t>
      </w:r>
    </w:p>
    <w:p w:rsidR="00EB59A1" w:rsidRDefault="00EB59A1" w:rsidP="00EB59A1">
      <w:pPr>
        <w:pStyle w:val="prilog"/>
        <w:jc w:val="both"/>
        <w:rPr>
          <w:color w:val="000000"/>
        </w:rPr>
      </w:pPr>
      <w:r>
        <w:rPr>
          <w:color w:val="000000"/>
        </w:rPr>
        <w:t>PRILOG 1. – OKVIRNI OBRAZAC</w:t>
      </w:r>
    </w:p>
    <w:p w:rsidR="00EB59A1" w:rsidRDefault="00EB59A1" w:rsidP="00EB59A1">
      <w:pPr>
        <w:pStyle w:val="t-12-9-fett-s"/>
        <w:jc w:val="center"/>
        <w:rPr>
          <w:b/>
          <w:bCs/>
          <w:color w:val="000000"/>
          <w:sz w:val="28"/>
          <w:szCs w:val="28"/>
        </w:rPr>
      </w:pPr>
      <w:r>
        <w:rPr>
          <w:b/>
          <w:bCs/>
          <w:color w:val="000000"/>
          <w:sz w:val="28"/>
          <w:szCs w:val="28"/>
        </w:rPr>
        <w:t>Sporazum o mirenju</w:t>
      </w:r>
    </w:p>
    <w:p w:rsidR="00EB59A1" w:rsidRDefault="00EB59A1" w:rsidP="00EB59A1">
      <w:pPr>
        <w:pStyle w:val="t-9-8-bez-uvl"/>
        <w:jc w:val="both"/>
        <w:rPr>
          <w:color w:val="000000"/>
        </w:rPr>
      </w:pPr>
      <w:r>
        <w:rPr>
          <w:color w:val="000000"/>
        </w:rPr>
        <w:t>Stranke:</w:t>
      </w:r>
    </w:p>
    <w:p w:rsidR="00EB59A1" w:rsidRDefault="00EB59A1" w:rsidP="00EB59A1">
      <w:pPr>
        <w:pStyle w:val="t-9-8-bez-uvl"/>
        <w:jc w:val="both"/>
        <w:rPr>
          <w:color w:val="000000"/>
        </w:rPr>
      </w:pPr>
      <w:r>
        <w:rPr>
          <w:rStyle w:val="kurziv"/>
          <w:i/>
          <w:iCs/>
          <w:color w:val="000000"/>
        </w:rPr>
        <w:t>[Tvrtka i adresa]</w:t>
      </w:r>
    </w:p>
    <w:p w:rsidR="00EB59A1" w:rsidRDefault="00EB59A1" w:rsidP="00EB59A1">
      <w:pPr>
        <w:pStyle w:val="t-9-8-bez-uvl"/>
        <w:jc w:val="both"/>
        <w:rPr>
          <w:color w:val="000000"/>
        </w:rPr>
      </w:pPr>
      <w:r>
        <w:rPr>
          <w:color w:val="000000"/>
        </w:rPr>
        <w:t>koga zastupa</w:t>
      </w:r>
    </w:p>
    <w:p w:rsidR="00EB59A1" w:rsidRDefault="00EB59A1" w:rsidP="00EB59A1">
      <w:pPr>
        <w:pStyle w:val="t-9-8-bez-uvl"/>
        <w:jc w:val="both"/>
        <w:rPr>
          <w:color w:val="000000"/>
        </w:rPr>
      </w:pPr>
      <w:r>
        <w:rPr>
          <w:rStyle w:val="kurziv"/>
          <w:i/>
          <w:iCs/>
          <w:color w:val="000000"/>
        </w:rPr>
        <w:t>gospodin/gospođa [ime i prezime, oib]</w:t>
      </w:r>
    </w:p>
    <w:p w:rsidR="00EB59A1" w:rsidRDefault="00EB59A1" w:rsidP="00EB59A1">
      <w:pPr>
        <w:pStyle w:val="t-9-8"/>
        <w:jc w:val="both"/>
        <w:rPr>
          <w:color w:val="000000"/>
        </w:rPr>
      </w:pPr>
      <w:r>
        <w:rPr>
          <w:color w:val="000000"/>
        </w:rPr>
        <w:t>i</w:t>
      </w:r>
    </w:p>
    <w:p w:rsidR="00EB59A1" w:rsidRDefault="00EB59A1" w:rsidP="00EB59A1">
      <w:pPr>
        <w:pStyle w:val="t-9-8"/>
        <w:jc w:val="both"/>
        <w:rPr>
          <w:color w:val="000000"/>
        </w:rPr>
      </w:pPr>
      <w:r>
        <w:rPr>
          <w:rStyle w:val="kurziv"/>
          <w:i/>
          <w:iCs/>
          <w:color w:val="000000"/>
        </w:rPr>
        <w:lastRenderedPageBreak/>
        <w:t>[Tvrtka i adresa]</w:t>
      </w:r>
    </w:p>
    <w:p w:rsidR="00EB59A1" w:rsidRDefault="00EB59A1" w:rsidP="00EB59A1">
      <w:pPr>
        <w:pStyle w:val="t-9-8"/>
        <w:jc w:val="both"/>
        <w:rPr>
          <w:color w:val="000000"/>
        </w:rPr>
      </w:pPr>
      <w:r>
        <w:rPr>
          <w:color w:val="000000"/>
        </w:rPr>
        <w:t>koga zastupa</w:t>
      </w:r>
    </w:p>
    <w:p w:rsidR="00EB59A1" w:rsidRDefault="00EB59A1" w:rsidP="00EB59A1">
      <w:pPr>
        <w:pStyle w:val="t-9-8"/>
        <w:jc w:val="both"/>
        <w:rPr>
          <w:color w:val="000000"/>
        </w:rPr>
      </w:pPr>
      <w:r>
        <w:rPr>
          <w:rStyle w:val="kurziv"/>
          <w:i/>
          <w:iCs/>
          <w:color w:val="000000"/>
        </w:rPr>
        <w:t>gospodin/gospođa [ime i prezime, oib]</w:t>
      </w:r>
    </w:p>
    <w:p w:rsidR="00EB59A1" w:rsidRDefault="00EB59A1" w:rsidP="00EB59A1">
      <w:pPr>
        <w:pStyle w:val="t-9-8"/>
        <w:jc w:val="both"/>
        <w:rPr>
          <w:color w:val="000000"/>
        </w:rPr>
      </w:pPr>
      <w:r>
        <w:rPr>
          <w:color w:val="000000"/>
        </w:rPr>
        <w:t>(u daljnjem tekstu: stranke)</w:t>
      </w:r>
    </w:p>
    <w:p w:rsidR="00EB59A1" w:rsidRDefault="00EB59A1" w:rsidP="00EB59A1">
      <w:pPr>
        <w:pStyle w:val="t-9-8"/>
        <w:jc w:val="both"/>
        <w:rPr>
          <w:color w:val="000000"/>
        </w:rPr>
      </w:pPr>
      <w:r>
        <w:rPr>
          <w:color w:val="000000"/>
        </w:rPr>
        <w:t>sklopili su u Zagrebu, dana [datum] ovaj</w:t>
      </w:r>
    </w:p>
    <w:p w:rsidR="00EB59A1" w:rsidRDefault="00EB59A1" w:rsidP="00EB59A1">
      <w:pPr>
        <w:pStyle w:val="t-10-9-fett"/>
        <w:jc w:val="both"/>
        <w:rPr>
          <w:b/>
          <w:bCs/>
          <w:color w:val="000000"/>
          <w:sz w:val="26"/>
          <w:szCs w:val="26"/>
        </w:rPr>
      </w:pPr>
      <w:r>
        <w:rPr>
          <w:b/>
          <w:bCs/>
          <w:color w:val="000000"/>
          <w:sz w:val="26"/>
          <w:szCs w:val="26"/>
        </w:rPr>
        <w:t>SPORAZUM O MIRENJU</w:t>
      </w:r>
    </w:p>
    <w:p w:rsidR="00EB59A1" w:rsidRDefault="00EB59A1" w:rsidP="00EB59A1">
      <w:pPr>
        <w:pStyle w:val="t-9-8"/>
        <w:jc w:val="both"/>
        <w:rPr>
          <w:color w:val="000000"/>
        </w:rPr>
      </w:pPr>
      <w:r>
        <w:rPr>
          <w:color w:val="000000"/>
        </w:rPr>
        <w:t>1. Stranke će mirenjem pred [alternativno: Hrvatskom udrugom za mirenje, Centrom za mirenje HUO, Centrom za mirenje HGK, Centrom za mirenje HOK, itd. (dalje: Centar)] u okviru Zakona o mirenju (»Narodne novine«, broj 18/2011) i odgovarajućih pravila o mirenju pokušati riješiti spor.</w:t>
      </w:r>
    </w:p>
    <w:p w:rsidR="00EB59A1" w:rsidRDefault="00EB59A1" w:rsidP="00EB59A1">
      <w:pPr>
        <w:pStyle w:val="t-9-8"/>
        <w:jc w:val="both"/>
        <w:rPr>
          <w:color w:val="000000"/>
        </w:rPr>
      </w:pPr>
      <w:r>
        <w:rPr>
          <w:rStyle w:val="kurziv"/>
          <w:i/>
          <w:iCs/>
          <w:color w:val="000000"/>
        </w:rPr>
        <w:t>[kratki opis spora. Ako se o sporu vodi sudski, arbitražni ili neki drugi postupak, dovoljno je navesti tijelo pred kojim se postupak vodi i poslovni broj predmeta]</w:t>
      </w:r>
    </w:p>
    <w:p w:rsidR="00EB59A1" w:rsidRDefault="00EB59A1" w:rsidP="00EB59A1">
      <w:pPr>
        <w:pStyle w:val="t-9-8"/>
        <w:jc w:val="both"/>
        <w:rPr>
          <w:color w:val="000000"/>
        </w:rPr>
      </w:pPr>
      <w:r>
        <w:rPr>
          <w:color w:val="000000"/>
        </w:rPr>
        <w:t>2. Stranke za izmiritelja imenuju [ime i prezime izmiritelja].</w:t>
      </w:r>
    </w:p>
    <w:p w:rsidR="00EB59A1" w:rsidRDefault="00EB59A1" w:rsidP="00EB59A1">
      <w:pPr>
        <w:pStyle w:val="t-9-8"/>
        <w:jc w:val="both"/>
        <w:rPr>
          <w:color w:val="000000"/>
        </w:rPr>
      </w:pPr>
      <w:r>
        <w:rPr>
          <w:rStyle w:val="kurziv"/>
          <w:i/>
          <w:iCs/>
          <w:color w:val="000000"/>
        </w:rPr>
        <w:t>Alternativa:</w:t>
      </w:r>
    </w:p>
    <w:p w:rsidR="00EB59A1" w:rsidRDefault="00EB59A1" w:rsidP="00EB59A1">
      <w:pPr>
        <w:pStyle w:val="t-9-8"/>
        <w:jc w:val="both"/>
        <w:rPr>
          <w:color w:val="000000"/>
        </w:rPr>
      </w:pPr>
      <w:r>
        <w:rPr>
          <w:rStyle w:val="kurziv"/>
          <w:i/>
          <w:iCs/>
          <w:color w:val="000000"/>
        </w:rPr>
        <w:t>Stranke sporazumno predlažu da izmiritelja imenuje predsjednik Centra.</w:t>
      </w:r>
    </w:p>
    <w:p w:rsidR="00EB59A1" w:rsidRDefault="00EB59A1" w:rsidP="00EB59A1">
      <w:pPr>
        <w:pStyle w:val="t-9-8"/>
        <w:jc w:val="both"/>
        <w:rPr>
          <w:color w:val="000000"/>
        </w:rPr>
      </w:pPr>
      <w:r>
        <w:rPr>
          <w:color w:val="000000"/>
        </w:rPr>
        <w:t>3. Mirenje će se smatrati pokrenutim na dan sklapanja ovog sporazuma.</w:t>
      </w:r>
    </w:p>
    <w:p w:rsidR="00EB59A1" w:rsidRDefault="00EB59A1" w:rsidP="00EB59A1">
      <w:pPr>
        <w:pStyle w:val="t-9-8"/>
        <w:jc w:val="both"/>
        <w:rPr>
          <w:color w:val="000000"/>
        </w:rPr>
      </w:pPr>
      <w:r>
        <w:rPr>
          <w:rStyle w:val="kurziv"/>
          <w:i/>
          <w:iCs/>
          <w:color w:val="000000"/>
        </w:rPr>
        <w:t>Alternativa:</w:t>
      </w:r>
    </w:p>
    <w:p w:rsidR="00EB59A1" w:rsidRDefault="00EB59A1" w:rsidP="00EB59A1">
      <w:pPr>
        <w:pStyle w:val="t-9-8"/>
        <w:jc w:val="both"/>
        <w:rPr>
          <w:color w:val="000000"/>
        </w:rPr>
      </w:pPr>
      <w:r>
        <w:rPr>
          <w:rStyle w:val="kurziv"/>
          <w:i/>
          <w:iCs/>
          <w:color w:val="000000"/>
        </w:rPr>
        <w:t>Mirenje se smatra pokrenutim ako su stranke predložile da izmiritelja imenuje predsjednik Centra, na dan kad su stranke primile obavijest o navedenom imenovanju.</w:t>
      </w:r>
    </w:p>
    <w:p w:rsidR="00EB59A1" w:rsidRDefault="00EB59A1" w:rsidP="00EB59A1">
      <w:pPr>
        <w:pStyle w:val="t-9-8"/>
        <w:jc w:val="both"/>
        <w:rPr>
          <w:color w:val="000000"/>
        </w:rPr>
      </w:pPr>
      <w:r>
        <w:rPr>
          <w:color w:val="000000"/>
        </w:rPr>
        <w:t>4. U dogovoru s izmiriteljem i Centrom, sastanak u postupku mirenja održat će se</w:t>
      </w:r>
      <w:r>
        <w:rPr>
          <w:rStyle w:val="apple-converted-space"/>
          <w:color w:val="000000"/>
        </w:rPr>
        <w:t> </w:t>
      </w:r>
      <w:r>
        <w:rPr>
          <w:rStyle w:val="kurziv"/>
          <w:i/>
          <w:iCs/>
          <w:color w:val="000000"/>
        </w:rPr>
        <w:t>[datum, sat]</w:t>
      </w:r>
      <w:r>
        <w:rPr>
          <w:rStyle w:val="apple-converted-space"/>
          <w:i/>
          <w:iCs/>
          <w:color w:val="000000"/>
        </w:rPr>
        <w:t> </w:t>
      </w:r>
      <w:r>
        <w:rPr>
          <w:color w:val="000000"/>
        </w:rPr>
        <w:t>u prostorijama</w:t>
      </w:r>
      <w:r>
        <w:rPr>
          <w:rStyle w:val="apple-converted-space"/>
          <w:color w:val="000000"/>
        </w:rPr>
        <w:t> </w:t>
      </w:r>
      <w:r>
        <w:rPr>
          <w:rStyle w:val="kurziv"/>
          <w:i/>
          <w:iCs/>
          <w:color w:val="000000"/>
        </w:rPr>
        <w:t>[upisati adresu]</w:t>
      </w:r>
    </w:p>
    <w:p w:rsidR="00EB59A1" w:rsidRDefault="00EB59A1" w:rsidP="00EB59A1">
      <w:pPr>
        <w:pStyle w:val="t-9-8"/>
        <w:jc w:val="both"/>
        <w:rPr>
          <w:color w:val="000000"/>
        </w:rPr>
      </w:pPr>
      <w:r>
        <w:rPr>
          <w:color w:val="000000"/>
        </w:rPr>
        <w:t>5. Stranke će unaprijed obavijestiti Centar i izmiritelja o tome tko će sudjelovati na sastanku u postupku mirenja. Svaku stranku u postupku mirenja zastupat će barem jedna osoba koja je ovlaštena sklopiti nagodbu bez naknadnog odobrenja ili suglasnosti drugih osoba ili tijela. O svim ograničenjima ovlasti za zastupanje stranke će unaprijed obavijestiti Centar i izmiritelja.</w:t>
      </w:r>
    </w:p>
    <w:p w:rsidR="00EB59A1" w:rsidRDefault="00EB59A1" w:rsidP="00EB59A1">
      <w:pPr>
        <w:pStyle w:val="t-9-8"/>
        <w:jc w:val="both"/>
        <w:rPr>
          <w:color w:val="000000"/>
        </w:rPr>
      </w:pPr>
      <w:r>
        <w:rPr>
          <w:color w:val="000000"/>
        </w:rPr>
        <w:t>6. Izmiritelj može sa strankama održavati zajedničke ili odvojene sastanke. Izmiritelj će prenijeti sadržaj odvojenog sastanka s jednom strankom drugoj stranci, samo ako ga prva stranka na to izričito ovlasti.</w:t>
      </w:r>
    </w:p>
    <w:p w:rsidR="00EB59A1" w:rsidRDefault="00EB59A1" w:rsidP="00EB59A1">
      <w:pPr>
        <w:pStyle w:val="t-9-8"/>
        <w:jc w:val="both"/>
        <w:rPr>
          <w:color w:val="000000"/>
        </w:rPr>
      </w:pPr>
      <w:r>
        <w:rPr>
          <w:color w:val="000000"/>
        </w:rPr>
        <w:lastRenderedPageBreak/>
        <w:t>7. Na sastancima u postupku mirenja ne vodi se zapisnik. Osobne bilješke koje vode sudionici sastanaka mirenja uništit će se na kraju mirenja.</w:t>
      </w:r>
    </w:p>
    <w:p w:rsidR="00EB59A1" w:rsidRDefault="00EB59A1" w:rsidP="00EB59A1">
      <w:pPr>
        <w:pStyle w:val="t-9-8"/>
        <w:jc w:val="both"/>
        <w:rPr>
          <w:color w:val="000000"/>
        </w:rPr>
      </w:pPr>
      <w:r>
        <w:rPr>
          <w:color w:val="000000"/>
        </w:rPr>
        <w:t>8. Izmiritelj može sudjelovati u sastavljanju nagodbe i predlagati njezin sadržaj.</w:t>
      </w:r>
    </w:p>
    <w:p w:rsidR="00EB59A1" w:rsidRDefault="00EB59A1" w:rsidP="00EB59A1">
      <w:pPr>
        <w:pStyle w:val="t-9-8"/>
        <w:jc w:val="both"/>
        <w:rPr>
          <w:color w:val="000000"/>
        </w:rPr>
      </w:pPr>
      <w:r>
        <w:rPr>
          <w:color w:val="000000"/>
        </w:rPr>
        <w:t>9. Centar i izmiritelj nisu stranke ovog sporazuma niti nagodbe sklopljene u postupku mirenja.</w:t>
      </w:r>
    </w:p>
    <w:p w:rsidR="00EB59A1" w:rsidRDefault="00EB59A1" w:rsidP="00EB59A1">
      <w:pPr>
        <w:pStyle w:val="t-9-8"/>
        <w:jc w:val="both"/>
        <w:rPr>
          <w:color w:val="000000"/>
        </w:rPr>
      </w:pPr>
      <w:r>
        <w:rPr>
          <w:color w:val="000000"/>
        </w:rPr>
        <w:t>10. Na sva pitanja koja nisu izričito riješena ovim sporazumom, primjenjuje se Pravilnik o mirenju Centra i prinudne odredbe Zakona o mirenju, oba pravna dokumenta u verzijama koje su na snazi u času sklapanja ovog sporazuma.</w:t>
      </w:r>
    </w:p>
    <w:p w:rsidR="00EB59A1" w:rsidRDefault="00EB59A1" w:rsidP="00EB59A1">
      <w:pPr>
        <w:pStyle w:val="t-9-8"/>
        <w:jc w:val="both"/>
        <w:rPr>
          <w:color w:val="000000"/>
        </w:rPr>
      </w:pPr>
      <w:r>
        <w:rPr>
          <w:color w:val="000000"/>
        </w:rPr>
        <w:t>11. Ovaj sporazum sastavljen je u tri primjerka od čega po jedan za svaku stranku i jedan za Centar.</w:t>
      </w:r>
    </w:p>
    <w:p w:rsidR="00EB59A1" w:rsidRDefault="00EB59A1" w:rsidP="00EB59A1">
      <w:pPr>
        <w:pStyle w:val="t-9-8-bez-uvl"/>
        <w:jc w:val="both"/>
        <w:rPr>
          <w:color w:val="000000"/>
        </w:rPr>
      </w:pPr>
      <w:r>
        <w:rPr>
          <w:color w:val="000000"/>
        </w:rPr>
        <w:t>Za</w:t>
      </w:r>
      <w:r>
        <w:rPr>
          <w:rStyle w:val="apple-converted-space"/>
          <w:color w:val="000000"/>
        </w:rPr>
        <w:t> </w:t>
      </w:r>
      <w:r>
        <w:rPr>
          <w:rStyle w:val="kurziv"/>
          <w:i/>
          <w:iCs/>
          <w:color w:val="000000"/>
        </w:rPr>
        <w:t>[tvrtka]</w:t>
      </w:r>
      <w:r>
        <w:rPr>
          <w:rStyle w:val="apple-converted-space"/>
          <w:color w:val="000000"/>
        </w:rPr>
        <w:t> </w:t>
      </w:r>
      <w:r>
        <w:rPr>
          <w:color w:val="000000"/>
        </w:rPr>
        <w:t>Za</w:t>
      </w:r>
      <w:r>
        <w:rPr>
          <w:rStyle w:val="apple-converted-space"/>
          <w:i/>
          <w:iCs/>
          <w:color w:val="000000"/>
        </w:rPr>
        <w:t> </w:t>
      </w:r>
      <w:r>
        <w:rPr>
          <w:rStyle w:val="kurziv"/>
          <w:i/>
          <w:iCs/>
          <w:color w:val="000000"/>
        </w:rPr>
        <w:t>[tvrtka]</w:t>
      </w:r>
    </w:p>
    <w:p w:rsidR="00EB59A1" w:rsidRDefault="00EB59A1" w:rsidP="00EB59A1">
      <w:pPr>
        <w:pStyle w:val="t-9-8-bez-uvl"/>
        <w:jc w:val="both"/>
        <w:rPr>
          <w:color w:val="000000"/>
        </w:rPr>
      </w:pPr>
      <w:r>
        <w:rPr>
          <w:color w:val="000000"/>
        </w:rPr>
        <w:t>_______________ _______________</w:t>
      </w:r>
    </w:p>
    <w:p w:rsidR="00EB59A1" w:rsidRDefault="00EB59A1" w:rsidP="00EB59A1">
      <w:pPr>
        <w:pStyle w:val="t-9-8-bez-uvl"/>
        <w:jc w:val="both"/>
        <w:rPr>
          <w:color w:val="000000"/>
        </w:rPr>
      </w:pPr>
      <w:r>
        <w:rPr>
          <w:rStyle w:val="kurziv"/>
          <w:i/>
          <w:iCs/>
          <w:color w:val="000000"/>
        </w:rPr>
        <w:t>[Ime i prezime] [Ime i prezime]</w:t>
      </w:r>
    </w:p>
    <w:p w:rsidR="00EB59A1" w:rsidRDefault="00EB59A1" w:rsidP="00EB59A1">
      <w:pPr>
        <w:pStyle w:val="prilog"/>
        <w:jc w:val="both"/>
        <w:rPr>
          <w:color w:val="000000"/>
        </w:rPr>
      </w:pPr>
      <w:r>
        <w:rPr>
          <w:color w:val="000000"/>
        </w:rPr>
        <w:t>PRILOG 2. – OKVIRNI OBRAZAC</w:t>
      </w:r>
    </w:p>
    <w:p w:rsidR="00EB59A1" w:rsidRDefault="00EB59A1" w:rsidP="00EB59A1">
      <w:pPr>
        <w:pStyle w:val="t-12-9-fett-s"/>
        <w:jc w:val="center"/>
        <w:rPr>
          <w:b/>
          <w:bCs/>
          <w:color w:val="000000"/>
          <w:sz w:val="28"/>
          <w:szCs w:val="28"/>
        </w:rPr>
      </w:pPr>
      <w:r>
        <w:rPr>
          <w:b/>
          <w:bCs/>
          <w:color w:val="000000"/>
          <w:sz w:val="28"/>
          <w:szCs w:val="28"/>
        </w:rPr>
        <w:t>Arbitražna klauzula</w:t>
      </w:r>
    </w:p>
    <w:p w:rsidR="00EB59A1" w:rsidRDefault="00EB59A1" w:rsidP="00EB59A1">
      <w:pPr>
        <w:pStyle w:val="t-9-8"/>
        <w:jc w:val="both"/>
        <w:rPr>
          <w:color w:val="000000"/>
        </w:rPr>
      </w:pPr>
      <w:r>
        <w:rPr>
          <w:color w:val="000000"/>
        </w:rPr>
        <w:t>»Svi sporovi koji proizlaze iz ovog ugovora i u vezi s njim, uključujući i sporove koji se odnose na pitanja njegovog valjanog nastanka, povrede ili prestanka, kao i na pravne učinke koji iz toga proistječu, konačno će se riješiti arbitražom u skladu s važećim Pravilnikom o arbitraži pri Stalnom arbitražnom sudištu Hrvatske gospodarske komore (Zagrebačkim pravilima).</w:t>
      </w:r>
    </w:p>
    <w:p w:rsidR="00EB59A1" w:rsidRDefault="00EB59A1" w:rsidP="00EB59A1">
      <w:pPr>
        <w:pStyle w:val="t-9-8"/>
        <w:jc w:val="both"/>
        <w:rPr>
          <w:color w:val="000000"/>
        </w:rPr>
      </w:pPr>
      <w:r>
        <w:rPr>
          <w:color w:val="000000"/>
        </w:rPr>
        <w:t>Eventualne isplate na koje Republika Hrvatska bude obvezana bit će određene u najmanje pet obroka koji dospijevaju jednom godišnje, od kojih prvi obrok dospijeva na naplatu najranije 2013. godine, što uključuje i pravo na pripadajuću kamatu.«</w:t>
      </w:r>
    </w:p>
    <w:p w:rsidR="00EB59A1" w:rsidRDefault="00EB59A1" w:rsidP="00EB59A1">
      <w:pPr>
        <w:pStyle w:val="t-9-8"/>
        <w:jc w:val="both"/>
        <w:rPr>
          <w:color w:val="000000"/>
        </w:rPr>
      </w:pPr>
      <w:r>
        <w:rPr>
          <w:color w:val="000000"/>
        </w:rPr>
        <w:t>Prikladne su dodatne odredbe o:</w:t>
      </w:r>
    </w:p>
    <w:p w:rsidR="00EB59A1" w:rsidRDefault="00EB59A1" w:rsidP="00EB59A1">
      <w:pPr>
        <w:pStyle w:val="t-9-8"/>
        <w:jc w:val="both"/>
        <w:rPr>
          <w:color w:val="000000"/>
        </w:rPr>
      </w:pPr>
      <w:r>
        <w:rPr>
          <w:color w:val="000000"/>
        </w:rPr>
        <w:t>(a) broju arbitara (jedan ili tri)</w:t>
      </w:r>
    </w:p>
    <w:p w:rsidR="00EB59A1" w:rsidRDefault="00EB59A1" w:rsidP="00EB59A1">
      <w:pPr>
        <w:pStyle w:val="t-9-8"/>
        <w:jc w:val="both"/>
        <w:rPr>
          <w:color w:val="000000"/>
        </w:rPr>
      </w:pPr>
      <w:r>
        <w:rPr>
          <w:color w:val="000000"/>
        </w:rPr>
        <w:t>(b) mjerodavnom pravu</w:t>
      </w:r>
    </w:p>
    <w:p w:rsidR="00EB59A1" w:rsidRDefault="00EB59A1" w:rsidP="00EB59A1">
      <w:pPr>
        <w:pStyle w:val="t-9-8"/>
        <w:jc w:val="both"/>
        <w:rPr>
          <w:color w:val="000000"/>
        </w:rPr>
      </w:pPr>
      <w:r>
        <w:rPr>
          <w:color w:val="000000"/>
        </w:rPr>
        <w:t>(c) jeziku/jezicima arbitražnog postupka</w:t>
      </w:r>
    </w:p>
    <w:p w:rsidR="00EB59A1" w:rsidRDefault="00EB59A1" w:rsidP="00EB59A1">
      <w:pPr>
        <w:pStyle w:val="t-9-8"/>
        <w:jc w:val="both"/>
        <w:rPr>
          <w:color w:val="000000"/>
        </w:rPr>
      </w:pPr>
      <w:r>
        <w:rPr>
          <w:color w:val="000000"/>
        </w:rPr>
        <w:t>(d) mjestu arbitraže (grad ili država)</w:t>
      </w:r>
    </w:p>
    <w:p w:rsidR="00EB59A1" w:rsidRDefault="00EB59A1" w:rsidP="00EB59A1">
      <w:pPr>
        <w:pStyle w:val="t-9-8"/>
        <w:jc w:val="both"/>
        <w:rPr>
          <w:color w:val="000000"/>
        </w:rPr>
      </w:pPr>
      <w:r>
        <w:rPr>
          <w:color w:val="000000"/>
        </w:rPr>
        <w:t>(e) ovlašteniku za imenovanje</w:t>
      </w:r>
    </w:p>
    <w:p w:rsidR="00EB59A1" w:rsidRDefault="00EB59A1" w:rsidP="00EB59A1">
      <w:pPr>
        <w:pStyle w:val="t-9-8"/>
        <w:jc w:val="both"/>
        <w:rPr>
          <w:color w:val="000000"/>
        </w:rPr>
      </w:pPr>
      <w:r>
        <w:rPr>
          <w:color w:val="000000"/>
        </w:rPr>
        <w:lastRenderedPageBreak/>
        <w:t>Fakultativna odredba o mogućnosti pobijanja pravorijeka zbog novih činjenica ili dokaza (članak 36. stavak 5. Zakona o arbitraži, »Narodne novine«, broj 88/2001)</w:t>
      </w:r>
    </w:p>
    <w:p w:rsidR="00EB59A1" w:rsidRDefault="00EB59A1" w:rsidP="00EB59A1">
      <w:pPr>
        <w:pStyle w:val="t-9-8"/>
        <w:jc w:val="both"/>
        <w:rPr>
          <w:color w:val="000000"/>
        </w:rPr>
      </w:pPr>
      <w:r>
        <w:rPr>
          <w:color w:val="000000"/>
        </w:rPr>
        <w:t>»Uz razloge za pobijanje pravorijeka navedene u članku 36. stavku 2. Zakona o arbitraži, pravorijek se može pobijati tužbom i ako stranka koja ga pobija sazna za nove činjenice ili nađe ili stekne mogućnost da upotrijebi nove dokaze na temelju kojih bi za nju mogao biti donesen povoljniji pravorijek da su te činjenice ili dokazi bili upotrijebljeni prije zaključenja raspravljanja koje je prethodilo donošenju pobijanog pravorijeka. Ovaj razlog može se isticati samo ako tužitelj bez svoje krivnje nije mogao te okolnosti iznijeti u arbitražnom postupku.«</w:t>
      </w:r>
    </w:p>
    <w:p w:rsidR="00EB59A1" w:rsidRDefault="00EB59A1" w:rsidP="00EB59A1">
      <w:pPr>
        <w:pStyle w:val="prilog"/>
        <w:jc w:val="both"/>
        <w:rPr>
          <w:color w:val="000000"/>
        </w:rPr>
      </w:pPr>
      <w:r>
        <w:rPr>
          <w:color w:val="000000"/>
        </w:rPr>
        <w:t>PRILOG 3. – OKVIRNI OBRAZAC</w:t>
      </w:r>
    </w:p>
    <w:p w:rsidR="00EB59A1" w:rsidRDefault="00EB59A1" w:rsidP="00EB59A1">
      <w:pPr>
        <w:pStyle w:val="t-12-9-fett-s"/>
        <w:jc w:val="center"/>
        <w:rPr>
          <w:b/>
          <w:bCs/>
          <w:color w:val="000000"/>
          <w:sz w:val="28"/>
          <w:szCs w:val="28"/>
        </w:rPr>
      </w:pPr>
      <w:r>
        <w:rPr>
          <w:b/>
          <w:bCs/>
          <w:color w:val="000000"/>
          <w:sz w:val="28"/>
          <w:szCs w:val="28"/>
        </w:rPr>
        <w:t>Ugovor o arbitraži</w:t>
      </w:r>
    </w:p>
    <w:p w:rsidR="00EB59A1" w:rsidRDefault="00EB59A1" w:rsidP="00EB59A1">
      <w:pPr>
        <w:pStyle w:val="t-9-8"/>
        <w:jc w:val="both"/>
        <w:rPr>
          <w:color w:val="000000"/>
        </w:rPr>
      </w:pPr>
      <w:r>
        <w:rPr>
          <w:color w:val="000000"/>
        </w:rPr>
        <w:t>»1. Ugovorne strane suglasno povjeravaju Stalnom arbitražnom sudištu pri Hrvatskoj gospodarskoj komori pravnu ocjenu spora koji se tiče zahtjeva ...</w:t>
      </w:r>
      <w:r>
        <w:rPr>
          <w:rStyle w:val="kurziv"/>
          <w:i/>
          <w:iCs/>
          <w:color w:val="000000"/>
        </w:rPr>
        <w:t>(navesti osobu koja postavlja zahtjev prema Republici Hrvatskoj)</w:t>
      </w:r>
      <w:r>
        <w:rPr>
          <w:color w:val="000000"/>
        </w:rPr>
        <w:t>... za isplatu iznosa od ...</w:t>
      </w:r>
      <w:r>
        <w:rPr>
          <w:rStyle w:val="kurziv"/>
          <w:i/>
          <w:iCs/>
          <w:color w:val="000000"/>
        </w:rPr>
        <w:t>(navesti iznos, ili, ako je riječ o nekom drugom zahtjevu, taj zahtjev)</w:t>
      </w:r>
      <w:r>
        <w:rPr>
          <w:color w:val="000000"/>
        </w:rPr>
        <w:t>... koji ...</w:t>
      </w:r>
      <w:r>
        <w:rPr>
          <w:rStyle w:val="kurziv"/>
          <w:i/>
          <w:iCs/>
          <w:color w:val="000000"/>
        </w:rPr>
        <w:t>(navesti podnositelja zahtjeva)</w:t>
      </w:r>
      <w:r>
        <w:rPr>
          <w:color w:val="000000"/>
        </w:rPr>
        <w:t>... zasniva na ...</w:t>
      </w:r>
      <w:r>
        <w:rPr>
          <w:rStyle w:val="kurziv"/>
          <w:i/>
          <w:iCs/>
          <w:color w:val="000000"/>
        </w:rPr>
        <w:t>(navesti ukratko pravni odnos iz kojega podnositelj zahtjeva izvodi svoje pravo)</w:t>
      </w:r>
      <w:r>
        <w:rPr>
          <w:color w:val="000000"/>
        </w:rPr>
        <w:t>...</w:t>
      </w:r>
    </w:p>
    <w:p w:rsidR="00EB59A1" w:rsidRDefault="00EB59A1" w:rsidP="00EB59A1">
      <w:pPr>
        <w:pStyle w:val="t-9-8"/>
        <w:jc w:val="both"/>
        <w:rPr>
          <w:color w:val="000000"/>
        </w:rPr>
      </w:pPr>
      <w:r>
        <w:rPr>
          <w:color w:val="000000"/>
        </w:rPr>
        <w:t>2. Pravnu će ocjenu spora u obliku neobvezujućeg (prethodnog) pravorijeka o osnovanosti zahtjeva dati arbitar pojedinac/arbitražno vijeće sastavljeno od tri arbitra, koji će biti imenovan(i) u skladu s odredbama Pravilnika o arbitraži pri Stalnom arbitražnom sudištu Hrvatske gospodarske komore (Zagrebačka pravila) na snazi od ... (NN ...).</w:t>
      </w:r>
    </w:p>
    <w:p w:rsidR="00EB59A1" w:rsidRDefault="00EB59A1" w:rsidP="00EB59A1">
      <w:pPr>
        <w:pStyle w:val="t-9-8"/>
        <w:jc w:val="both"/>
        <w:rPr>
          <w:color w:val="000000"/>
        </w:rPr>
      </w:pPr>
      <w:r>
        <w:rPr>
          <w:rStyle w:val="kurziv"/>
          <w:i/>
          <w:iCs/>
          <w:color w:val="000000"/>
        </w:rPr>
        <w:t>(Napomena: stranke mogu već u ovom ugovoru zajednički imenovati arbitra pojedinca i vijeće, ili odrediti listu arbitara s koje će ovlaštenik za imenovanje imenovati arbitra/arbitre ili samo predsjednika vijeća itd.; sastav bi trebao ovisiti i o vrijednosti predmeta spora jer bi trebalo voditi računa i o troškovima postupka.)</w:t>
      </w:r>
    </w:p>
    <w:p w:rsidR="00EB59A1" w:rsidRDefault="00EB59A1" w:rsidP="00EB59A1">
      <w:pPr>
        <w:pStyle w:val="t-9-8"/>
        <w:jc w:val="both"/>
        <w:rPr>
          <w:color w:val="000000"/>
        </w:rPr>
      </w:pPr>
      <w:r>
        <w:rPr>
          <w:color w:val="000000"/>
        </w:rPr>
        <w:t>3. Pravna ocjena spora bit će utemeljena na hipotezi da su tvrdnje stranaka o postojanju određenih činjenica istinite, pri čemu bi arbitražni sud mogao, polazeći od različitih hipoteza o činjeničnom stanju, dati različite uvjetne pravne ocjene spora.</w:t>
      </w:r>
    </w:p>
    <w:p w:rsidR="00EB59A1" w:rsidRDefault="00EB59A1" w:rsidP="00EB59A1">
      <w:pPr>
        <w:pStyle w:val="t-9-8"/>
        <w:jc w:val="both"/>
        <w:rPr>
          <w:color w:val="000000"/>
        </w:rPr>
      </w:pPr>
      <w:r>
        <w:rPr>
          <w:color w:val="000000"/>
        </w:rPr>
        <w:t>4. Na temelju neobvezujućeg pravorijeka iz točke 2. ovoga ugovora stranke mogu sklopiti nagodbu, na temelju koje će arbitražni sud, ako to obje stranke suglasno predlože, donijeti obvezujući pravorijek na temelju nagodbe. Donošenje takvog pravorijeka treba biti predloženo u roku od tri mjeseca od dostave neobvezujućeg pravorijeka iz točke 2. ovoga ugovora stranci kojoj će kasnije biti dostavljen.</w:t>
      </w:r>
    </w:p>
    <w:p w:rsidR="00EB59A1" w:rsidRDefault="00EB59A1" w:rsidP="00EB59A1">
      <w:pPr>
        <w:pStyle w:val="t-9-8"/>
        <w:jc w:val="both"/>
        <w:rPr>
          <w:color w:val="000000"/>
        </w:rPr>
      </w:pPr>
      <w:r>
        <w:rPr>
          <w:color w:val="000000"/>
        </w:rPr>
        <w:t>5. U roku od trideset dana od dana dostave pravorijeka iz točke 2. ovog ugovora stranci kojoj će kasnije biti dostavljen stranke mogu suglasno predložiti arbitražnom sudu nastavak arbitražnog postupka i rješenje spora obvezujućim pravorijekom u skladu sa Zagrebačkim pravilima.</w:t>
      </w:r>
    </w:p>
    <w:p w:rsidR="00EB59A1" w:rsidRDefault="00EB59A1" w:rsidP="00EB59A1">
      <w:pPr>
        <w:pStyle w:val="t-9-8"/>
        <w:jc w:val="both"/>
        <w:rPr>
          <w:color w:val="000000"/>
        </w:rPr>
      </w:pPr>
      <w:r>
        <w:rPr>
          <w:color w:val="000000"/>
        </w:rPr>
        <w:t xml:space="preserve">6. Ugovorne strane su suglasne da će svaka od njih predujmiti jednu polovicu sredstava za pokriće naknade troškova i nagrade arbitrima. Ako tužena stranka propusti uplatiti svoj dio </w:t>
      </w:r>
      <w:r>
        <w:rPr>
          <w:color w:val="000000"/>
        </w:rPr>
        <w:lastRenderedPageBreak/>
        <w:t>predujma u roku koji će joj za to biti određen, taj će dio uplatiti tužiteljska stranka u roku koji će mu za to biti određen. Za određivanje visine predujma bit će mjerodavni opći akti Sudišta prema kojima se predujam obračunava u redovnom arbitražnom postupku.</w:t>
      </w:r>
    </w:p>
    <w:p w:rsidR="00E616D2" w:rsidRDefault="00E616D2"/>
    <w:sectPr w:rsidR="00E616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A1"/>
    <w:rsid w:val="00091A28"/>
    <w:rsid w:val="00E616D2"/>
    <w:rsid w:val="00EB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26771-58A2-4597-9FB1-2658E991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EB59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oj-d">
    <w:name w:val="broj-d"/>
    <w:basedOn w:val="Normal"/>
    <w:rsid w:val="00EB59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
    <w:name w:val="t-9-8"/>
    <w:basedOn w:val="Normal"/>
    <w:rsid w:val="00EB59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na16">
    <w:name w:val="tb-na16"/>
    <w:basedOn w:val="Normal"/>
    <w:rsid w:val="00EB59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fett-s">
    <w:name w:val="t-12-9-fett-s"/>
    <w:basedOn w:val="Normal"/>
    <w:rsid w:val="00EB59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EB59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EB59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asa2">
    <w:name w:val="klasa2"/>
    <w:basedOn w:val="Normal"/>
    <w:rsid w:val="00EB59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potpis">
    <w:name w:val="t-9-8-potpis"/>
    <w:basedOn w:val="Normal"/>
    <w:rsid w:val="00EB59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B59A1"/>
  </w:style>
  <w:style w:type="character" w:customStyle="1" w:styleId="apple-converted-space">
    <w:name w:val="apple-converted-space"/>
    <w:basedOn w:val="DefaultParagraphFont"/>
    <w:rsid w:val="00EB59A1"/>
  </w:style>
  <w:style w:type="paragraph" w:customStyle="1" w:styleId="prilog">
    <w:name w:val="prilog"/>
    <w:basedOn w:val="Normal"/>
    <w:rsid w:val="00EB59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bez-uvl">
    <w:name w:val="t-9-8-bez-uvl"/>
    <w:basedOn w:val="Normal"/>
    <w:rsid w:val="00EB59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urziv">
    <w:name w:val="kurziv"/>
    <w:basedOn w:val="DefaultParagraphFont"/>
    <w:rsid w:val="00EB59A1"/>
  </w:style>
  <w:style w:type="paragraph" w:customStyle="1" w:styleId="t-10-9-fett">
    <w:name w:val="t-10-9-fett"/>
    <w:basedOn w:val="Normal"/>
    <w:rsid w:val="00EB59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0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Mance</dc:creator>
  <cp:keywords/>
  <dc:description/>
  <cp:lastModifiedBy>Maja Mance</cp:lastModifiedBy>
  <cp:revision>2</cp:revision>
  <dcterms:created xsi:type="dcterms:W3CDTF">2016-06-29T06:38:00Z</dcterms:created>
  <dcterms:modified xsi:type="dcterms:W3CDTF">2016-06-29T06:38:00Z</dcterms:modified>
</cp:coreProperties>
</file>